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C2338" w14:textId="78E83E72" w:rsidR="00920C75" w:rsidRPr="00513BF4" w:rsidRDefault="00D1439F" w:rsidP="00F906B4">
      <w:pPr>
        <w:jc w:val="both"/>
        <w:rPr>
          <w:b/>
          <w:bCs/>
          <w:color w:val="91C93D"/>
          <w:sz w:val="32"/>
          <w:szCs w:val="32"/>
          <w:lang w:val="en-GB"/>
        </w:rPr>
      </w:pPr>
      <w:r w:rsidRPr="00D1439F">
        <w:rPr>
          <w:b/>
          <w:bCs/>
          <w:noProof/>
          <w:color w:val="91C93D"/>
          <w:sz w:val="32"/>
          <w:szCs w:val="32"/>
          <w:lang w:val="en-GB"/>
        </w:rPr>
        <w:drawing>
          <wp:anchor distT="0" distB="0" distL="114300" distR="114300" simplePos="0" relativeHeight="251661312" behindDoc="0" locked="0" layoutInCell="1" allowOverlap="1" wp14:anchorId="5500D33C" wp14:editId="44ACBD49">
            <wp:simplePos x="0" y="0"/>
            <wp:positionH relativeFrom="column">
              <wp:posOffset>1390650</wp:posOffset>
            </wp:positionH>
            <wp:positionV relativeFrom="paragraph">
              <wp:posOffset>-190500</wp:posOffset>
            </wp:positionV>
            <wp:extent cx="1123950" cy="395555"/>
            <wp:effectExtent l="0" t="0" r="0" b="5080"/>
            <wp:wrapNone/>
            <wp:docPr id="8" name="Picture 7">
              <a:extLst xmlns:a="http://schemas.openxmlformats.org/drawingml/2006/main">
                <a:ext uri="{FF2B5EF4-FFF2-40B4-BE49-F238E27FC236}">
                  <a16:creationId xmlns:a16="http://schemas.microsoft.com/office/drawing/2014/main" id="{96071816-EA63-4177-B59A-FD44241B8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6071816-EA63-4177-B59A-FD44241B890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3950" cy="395555"/>
                    </a:xfrm>
                    <a:prstGeom prst="rect">
                      <a:avLst/>
                    </a:prstGeom>
                  </pic:spPr>
                </pic:pic>
              </a:graphicData>
            </a:graphic>
            <wp14:sizeRelH relativeFrom="margin">
              <wp14:pctWidth>0</wp14:pctWidth>
            </wp14:sizeRelH>
            <wp14:sizeRelV relativeFrom="margin">
              <wp14:pctHeight>0</wp14:pctHeight>
            </wp14:sizeRelV>
          </wp:anchor>
        </w:drawing>
      </w:r>
      <w:r w:rsidRPr="00D1439F">
        <w:rPr>
          <w:b/>
          <w:bCs/>
          <w:noProof/>
          <w:color w:val="91C93D"/>
          <w:sz w:val="32"/>
          <w:szCs w:val="32"/>
          <w:lang w:val="en-GB"/>
        </w:rPr>
        <w:drawing>
          <wp:anchor distT="0" distB="0" distL="114300" distR="114300" simplePos="0" relativeHeight="251662336" behindDoc="0" locked="0" layoutInCell="1" allowOverlap="1" wp14:anchorId="7AA0FFDA" wp14:editId="5474086A">
            <wp:simplePos x="0" y="0"/>
            <wp:positionH relativeFrom="column">
              <wp:posOffset>3251200</wp:posOffset>
            </wp:positionH>
            <wp:positionV relativeFrom="paragraph">
              <wp:posOffset>-285750</wp:posOffset>
            </wp:positionV>
            <wp:extent cx="1949450" cy="532406"/>
            <wp:effectExtent l="0" t="0" r="0" b="1270"/>
            <wp:wrapNone/>
            <wp:docPr id="7" name="Picture 4">
              <a:extLst xmlns:a="http://schemas.openxmlformats.org/drawingml/2006/main">
                <a:ext uri="{FF2B5EF4-FFF2-40B4-BE49-F238E27FC236}">
                  <a16:creationId xmlns:a16="http://schemas.microsoft.com/office/drawing/2014/main" id="{B31F900A-616A-40FF-BD9C-501F236FC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31F900A-616A-40FF-BD9C-501F236FCB93}"/>
                        </a:ext>
                      </a:extLst>
                    </pic:cNvPr>
                    <pic:cNvPicPr>
                      <a:picLocks noChangeAspect="1"/>
                    </pic:cNvPicPr>
                  </pic:nvPicPr>
                  <pic:blipFill>
                    <a:blip r:embed="rId9"/>
                    <a:stretch>
                      <a:fillRect/>
                    </a:stretch>
                  </pic:blipFill>
                  <pic:spPr>
                    <a:xfrm>
                      <a:off x="0" y="0"/>
                      <a:ext cx="1949450" cy="532406"/>
                    </a:xfrm>
                    <a:prstGeom prst="rect">
                      <a:avLst/>
                    </a:prstGeom>
                  </pic:spPr>
                </pic:pic>
              </a:graphicData>
            </a:graphic>
            <wp14:sizeRelH relativeFrom="margin">
              <wp14:pctWidth>0</wp14:pctWidth>
            </wp14:sizeRelH>
            <wp14:sizeRelV relativeFrom="margin">
              <wp14:pctHeight>0</wp14:pctHeight>
            </wp14:sizeRelV>
          </wp:anchor>
        </w:drawing>
      </w:r>
    </w:p>
    <w:p w14:paraId="33B86479" w14:textId="77777777" w:rsidR="00920C75" w:rsidRPr="00513BF4" w:rsidRDefault="00920C75" w:rsidP="00F906B4">
      <w:pPr>
        <w:jc w:val="both"/>
        <w:rPr>
          <w:b/>
          <w:bCs/>
          <w:color w:val="91C93D"/>
          <w:sz w:val="32"/>
          <w:szCs w:val="32"/>
          <w:lang w:val="en-GB"/>
        </w:rPr>
      </w:pPr>
    </w:p>
    <w:p w14:paraId="23C2CA18" w14:textId="0B275894" w:rsidR="004D2F0D" w:rsidRPr="00513BF4" w:rsidRDefault="009013BE" w:rsidP="00B6479B">
      <w:pPr>
        <w:jc w:val="center"/>
        <w:rPr>
          <w:b/>
          <w:bCs/>
          <w:color w:val="91C93D"/>
          <w:sz w:val="32"/>
          <w:szCs w:val="32"/>
          <w:lang w:val="en-GB"/>
        </w:rPr>
      </w:pPr>
      <w:r w:rsidRPr="00513BF4">
        <w:rPr>
          <w:b/>
          <w:bCs/>
          <w:color w:val="91C93D"/>
          <w:sz w:val="32"/>
          <w:szCs w:val="32"/>
          <w:lang w:val="en-GB"/>
        </w:rPr>
        <w:t>C</w:t>
      </w:r>
      <w:r w:rsidR="005406D2" w:rsidRPr="00513BF4">
        <w:rPr>
          <w:b/>
          <w:bCs/>
          <w:color w:val="91C93D"/>
          <w:sz w:val="32"/>
          <w:szCs w:val="32"/>
          <w:lang w:val="en-GB"/>
        </w:rPr>
        <w:t xml:space="preserve">ase study: </w:t>
      </w:r>
      <w:r w:rsidR="004D2F0D" w:rsidRPr="00513BF4">
        <w:rPr>
          <w:b/>
          <w:bCs/>
          <w:color w:val="91C93D"/>
          <w:sz w:val="32"/>
          <w:szCs w:val="32"/>
          <w:lang w:val="en-GB"/>
        </w:rPr>
        <w:t xml:space="preserve">Documentation of experiences using </w:t>
      </w:r>
      <w:r w:rsidR="004617F2" w:rsidRPr="00513BF4">
        <w:rPr>
          <w:b/>
          <w:bCs/>
          <w:color w:val="91C93D"/>
          <w:sz w:val="32"/>
          <w:szCs w:val="32"/>
          <w:lang w:val="en-GB"/>
        </w:rPr>
        <w:t>cash and voucher assistance (CVA)</w:t>
      </w:r>
      <w:r w:rsidR="004D2F0D" w:rsidRPr="00513BF4">
        <w:rPr>
          <w:b/>
          <w:bCs/>
          <w:color w:val="91C93D"/>
          <w:sz w:val="32"/>
          <w:szCs w:val="32"/>
          <w:lang w:val="en-GB"/>
        </w:rPr>
        <w:t xml:space="preserve"> for nutrition outcomes</w:t>
      </w:r>
      <w:r w:rsidRPr="00513BF4">
        <w:rPr>
          <w:b/>
          <w:bCs/>
          <w:color w:val="91C93D"/>
          <w:sz w:val="32"/>
          <w:szCs w:val="32"/>
          <w:lang w:val="en-GB"/>
        </w:rPr>
        <w:t xml:space="preserve"> in </w:t>
      </w:r>
      <w:r w:rsidR="002808FE">
        <w:rPr>
          <w:b/>
          <w:bCs/>
          <w:color w:val="91C93D"/>
          <w:sz w:val="32"/>
          <w:szCs w:val="32"/>
          <w:lang w:val="en-GB"/>
        </w:rPr>
        <w:t>Somali</w:t>
      </w:r>
    </w:p>
    <w:p w14:paraId="2FC50C4F" w14:textId="78D31F1C" w:rsidR="00920C75" w:rsidRPr="00513BF4" w:rsidRDefault="00920C75" w:rsidP="00B6479B">
      <w:pPr>
        <w:jc w:val="center"/>
        <w:rPr>
          <w:b/>
          <w:bCs/>
          <w:lang w:val="en-GB"/>
        </w:rPr>
      </w:pPr>
    </w:p>
    <w:p w14:paraId="1CBEB7D6" w14:textId="154E4EC2" w:rsidR="00920C75" w:rsidRPr="00513BF4" w:rsidRDefault="00323CE8" w:rsidP="00B6479B">
      <w:pPr>
        <w:jc w:val="center"/>
        <w:rPr>
          <w:sz w:val="24"/>
          <w:szCs w:val="24"/>
          <w:lang w:val="en-GB"/>
        </w:rPr>
      </w:pPr>
      <w:r w:rsidRPr="00513BF4">
        <w:rPr>
          <w:sz w:val="24"/>
          <w:szCs w:val="24"/>
          <w:lang w:val="en-GB"/>
        </w:rPr>
        <w:t>July</w:t>
      </w:r>
      <w:r w:rsidR="00920C75" w:rsidRPr="00513BF4">
        <w:rPr>
          <w:sz w:val="24"/>
          <w:szCs w:val="24"/>
          <w:lang w:val="en-GB"/>
        </w:rPr>
        <w:t xml:space="preserve"> 2020</w:t>
      </w:r>
    </w:p>
    <w:p w14:paraId="65ACB08A" w14:textId="61B13CC1" w:rsidR="00920C75" w:rsidRPr="00513BF4" w:rsidRDefault="00920C75" w:rsidP="00B6479B">
      <w:pPr>
        <w:jc w:val="center"/>
        <w:rPr>
          <w:sz w:val="24"/>
          <w:szCs w:val="24"/>
          <w:lang w:val="en-GB"/>
        </w:rPr>
      </w:pPr>
      <w:r w:rsidRPr="00513BF4">
        <w:rPr>
          <w:sz w:val="24"/>
          <w:szCs w:val="24"/>
          <w:lang w:val="en-GB"/>
        </w:rPr>
        <w:t xml:space="preserve">Prepared </w:t>
      </w:r>
      <w:proofErr w:type="gramStart"/>
      <w:r w:rsidRPr="00513BF4">
        <w:rPr>
          <w:sz w:val="24"/>
          <w:szCs w:val="24"/>
          <w:lang w:val="en-GB"/>
        </w:rPr>
        <w:t>by</w:t>
      </w:r>
      <w:r w:rsidR="00513BF4" w:rsidRPr="00513BF4">
        <w:rPr>
          <w:sz w:val="24"/>
          <w:szCs w:val="24"/>
          <w:lang w:val="en-GB"/>
        </w:rPr>
        <w:t>:</w:t>
      </w:r>
      <w:proofErr w:type="gramEnd"/>
      <w:r w:rsidR="00513BF4" w:rsidRPr="00513BF4">
        <w:rPr>
          <w:sz w:val="24"/>
          <w:szCs w:val="24"/>
          <w:lang w:val="en-GB"/>
        </w:rPr>
        <w:t xml:space="preserve"> </w:t>
      </w:r>
      <w:r w:rsidRPr="00513BF4">
        <w:rPr>
          <w:sz w:val="24"/>
          <w:szCs w:val="24"/>
          <w:lang w:val="en-GB"/>
        </w:rPr>
        <w:t xml:space="preserve">Andre </w:t>
      </w:r>
      <w:proofErr w:type="spellStart"/>
      <w:r w:rsidRPr="00513BF4">
        <w:rPr>
          <w:sz w:val="24"/>
          <w:szCs w:val="24"/>
          <w:lang w:val="en-GB"/>
        </w:rPr>
        <w:t>Duerr</w:t>
      </w:r>
      <w:proofErr w:type="spellEnd"/>
      <w:r w:rsidR="00323CE8" w:rsidRPr="00513BF4">
        <w:rPr>
          <w:sz w:val="24"/>
          <w:szCs w:val="24"/>
          <w:lang w:val="en-GB"/>
        </w:rPr>
        <w:t xml:space="preserve">, </w:t>
      </w:r>
      <w:r w:rsidRPr="00513BF4">
        <w:rPr>
          <w:sz w:val="24"/>
          <w:szCs w:val="24"/>
          <w:lang w:val="en-GB"/>
        </w:rPr>
        <w:t xml:space="preserve">Cash Advisor to the </w:t>
      </w:r>
      <w:r w:rsidR="004E5108" w:rsidRPr="00513BF4">
        <w:rPr>
          <w:sz w:val="24"/>
          <w:szCs w:val="24"/>
          <w:lang w:val="en-GB"/>
        </w:rPr>
        <w:t>Global Nutrition Cluster</w:t>
      </w:r>
      <w:r w:rsidR="00D1439F">
        <w:rPr>
          <w:sz w:val="24"/>
          <w:szCs w:val="24"/>
          <w:lang w:val="en-GB"/>
        </w:rPr>
        <w:t xml:space="preserve"> (</w:t>
      </w:r>
      <w:proofErr w:type="spellStart"/>
      <w:r w:rsidR="00D1439F">
        <w:rPr>
          <w:sz w:val="24"/>
          <w:szCs w:val="24"/>
          <w:lang w:val="en-GB"/>
        </w:rPr>
        <w:t>CashCap</w:t>
      </w:r>
      <w:proofErr w:type="spellEnd"/>
      <w:r w:rsidR="00D1439F">
        <w:rPr>
          <w:sz w:val="24"/>
          <w:szCs w:val="24"/>
          <w:lang w:val="en-GB"/>
        </w:rPr>
        <w:t>)</w:t>
      </w:r>
    </w:p>
    <w:p w14:paraId="0765FFF9" w14:textId="77777777" w:rsidR="00265B28" w:rsidRDefault="00513BF4" w:rsidP="00265B28">
      <w:pPr>
        <w:spacing w:after="0"/>
        <w:jc w:val="center"/>
        <w:rPr>
          <w:sz w:val="24"/>
          <w:szCs w:val="24"/>
          <w:lang w:val="en-GB"/>
        </w:rPr>
      </w:pPr>
      <w:r w:rsidRPr="00513BF4">
        <w:rPr>
          <w:sz w:val="24"/>
          <w:szCs w:val="24"/>
          <w:lang w:val="en-GB"/>
        </w:rPr>
        <w:t xml:space="preserve">With the support of: </w:t>
      </w:r>
      <w:r w:rsidR="00323CE8" w:rsidRPr="00513BF4">
        <w:rPr>
          <w:sz w:val="24"/>
          <w:szCs w:val="24"/>
          <w:lang w:val="en-GB"/>
        </w:rPr>
        <w:t>Noanne Laida, Cash Advisor to UNICEF-led cluster</w:t>
      </w:r>
      <w:r w:rsidR="00827A2D">
        <w:rPr>
          <w:sz w:val="24"/>
          <w:szCs w:val="24"/>
          <w:lang w:val="en-GB"/>
        </w:rPr>
        <w:t xml:space="preserve"> in Somalia,</w:t>
      </w:r>
      <w:r w:rsidR="00323CE8" w:rsidRPr="00513BF4">
        <w:rPr>
          <w:sz w:val="24"/>
          <w:szCs w:val="24"/>
          <w:lang w:val="en-GB"/>
        </w:rPr>
        <w:t xml:space="preserve"> </w:t>
      </w:r>
    </w:p>
    <w:p w14:paraId="272471D3" w14:textId="51AA254E" w:rsidR="00323CE8" w:rsidRPr="00513BF4" w:rsidRDefault="00827A2D" w:rsidP="00B6479B">
      <w:pPr>
        <w:jc w:val="center"/>
        <w:rPr>
          <w:sz w:val="24"/>
          <w:szCs w:val="24"/>
          <w:lang w:val="en-GB"/>
        </w:rPr>
      </w:pPr>
      <w:r>
        <w:rPr>
          <w:sz w:val="24"/>
          <w:szCs w:val="24"/>
          <w:lang w:val="en-GB"/>
        </w:rPr>
        <w:t>and Naema Hirad, Deputy Nutrition Cluster Coordinator Somalia</w:t>
      </w:r>
    </w:p>
    <w:p w14:paraId="466CDE62" w14:textId="631E4A08" w:rsidR="00920C75" w:rsidRPr="00513BF4" w:rsidRDefault="00920C75" w:rsidP="00F906B4">
      <w:pPr>
        <w:jc w:val="both"/>
        <w:rPr>
          <w:lang w:val="en-GB"/>
        </w:rPr>
      </w:pPr>
    </w:p>
    <w:sdt>
      <w:sdtPr>
        <w:rPr>
          <w:rFonts w:asciiTheme="minorHAnsi" w:eastAsiaTheme="minorHAnsi" w:hAnsiTheme="minorHAnsi" w:cstheme="minorBidi"/>
          <w:b w:val="0"/>
          <w:color w:val="auto"/>
          <w:sz w:val="22"/>
          <w:szCs w:val="22"/>
          <w:lang w:val="en-GB"/>
        </w:rPr>
        <w:id w:val="-2044509918"/>
        <w:docPartObj>
          <w:docPartGallery w:val="Table of Contents"/>
          <w:docPartUnique/>
        </w:docPartObj>
      </w:sdtPr>
      <w:sdtEndPr>
        <w:rPr>
          <w:bCs/>
          <w:noProof/>
        </w:rPr>
      </w:sdtEndPr>
      <w:sdtContent>
        <w:p w14:paraId="11FAC2BC" w14:textId="70FAB086" w:rsidR="000304FF" w:rsidRPr="00513BF4" w:rsidRDefault="000304FF" w:rsidP="00F906B4">
          <w:pPr>
            <w:pStyle w:val="TOCHeading"/>
            <w:jc w:val="both"/>
            <w:rPr>
              <w:lang w:val="en-GB"/>
            </w:rPr>
          </w:pPr>
          <w:r w:rsidRPr="00513BF4">
            <w:rPr>
              <w:lang w:val="en-GB"/>
            </w:rPr>
            <w:t>Table of Contents</w:t>
          </w:r>
        </w:p>
        <w:p w14:paraId="7E8153F8" w14:textId="6115E1D2" w:rsidR="00265B28" w:rsidRDefault="000304FF">
          <w:pPr>
            <w:pStyle w:val="TOC1"/>
            <w:tabs>
              <w:tab w:val="left" w:pos="440"/>
              <w:tab w:val="right" w:leader="dot" w:pos="9350"/>
            </w:tabs>
            <w:rPr>
              <w:rFonts w:eastAsiaTheme="minorEastAsia"/>
              <w:noProof/>
            </w:rPr>
          </w:pPr>
          <w:r w:rsidRPr="00513BF4">
            <w:rPr>
              <w:lang w:val="en-GB"/>
            </w:rPr>
            <w:fldChar w:fldCharType="begin"/>
          </w:r>
          <w:r w:rsidRPr="00513BF4">
            <w:rPr>
              <w:lang w:val="en-GB"/>
            </w:rPr>
            <w:instrText xml:space="preserve"> TOC \o "1-3" \h \z \u </w:instrText>
          </w:r>
          <w:r w:rsidRPr="00513BF4">
            <w:rPr>
              <w:lang w:val="en-GB"/>
            </w:rPr>
            <w:fldChar w:fldCharType="separate"/>
          </w:r>
          <w:hyperlink w:anchor="_Toc46392131" w:history="1">
            <w:r w:rsidR="00265B28" w:rsidRPr="00DC465F">
              <w:rPr>
                <w:rStyle w:val="Hyperlink"/>
                <w:noProof/>
                <w:lang w:val="en-GB"/>
              </w:rPr>
              <w:t>1</w:t>
            </w:r>
            <w:r w:rsidR="00265B28">
              <w:rPr>
                <w:rFonts w:eastAsiaTheme="minorEastAsia"/>
                <w:noProof/>
              </w:rPr>
              <w:tab/>
            </w:r>
            <w:r w:rsidR="00265B28" w:rsidRPr="00DC465F">
              <w:rPr>
                <w:rStyle w:val="Hyperlink"/>
                <w:noProof/>
                <w:lang w:val="en-GB"/>
              </w:rPr>
              <w:t>Introduction</w:t>
            </w:r>
            <w:r w:rsidR="00265B28">
              <w:rPr>
                <w:noProof/>
                <w:webHidden/>
              </w:rPr>
              <w:tab/>
            </w:r>
            <w:r w:rsidR="00265B28">
              <w:rPr>
                <w:noProof/>
                <w:webHidden/>
              </w:rPr>
              <w:fldChar w:fldCharType="begin"/>
            </w:r>
            <w:r w:rsidR="00265B28">
              <w:rPr>
                <w:noProof/>
                <w:webHidden/>
              </w:rPr>
              <w:instrText xml:space="preserve"> PAGEREF _Toc46392131 \h </w:instrText>
            </w:r>
            <w:r w:rsidR="00265B28">
              <w:rPr>
                <w:noProof/>
                <w:webHidden/>
              </w:rPr>
            </w:r>
            <w:r w:rsidR="00265B28">
              <w:rPr>
                <w:noProof/>
                <w:webHidden/>
              </w:rPr>
              <w:fldChar w:fldCharType="separate"/>
            </w:r>
            <w:r w:rsidR="00265B28">
              <w:rPr>
                <w:noProof/>
                <w:webHidden/>
              </w:rPr>
              <w:t>2</w:t>
            </w:r>
            <w:r w:rsidR="00265B28">
              <w:rPr>
                <w:noProof/>
                <w:webHidden/>
              </w:rPr>
              <w:fldChar w:fldCharType="end"/>
            </w:r>
          </w:hyperlink>
        </w:p>
        <w:p w14:paraId="427F4036" w14:textId="2035C83E" w:rsidR="00265B28" w:rsidRDefault="001A1887">
          <w:pPr>
            <w:pStyle w:val="TOC1"/>
            <w:tabs>
              <w:tab w:val="left" w:pos="440"/>
              <w:tab w:val="right" w:leader="dot" w:pos="9350"/>
            </w:tabs>
            <w:rPr>
              <w:rFonts w:eastAsiaTheme="minorEastAsia"/>
              <w:noProof/>
            </w:rPr>
          </w:pPr>
          <w:hyperlink w:anchor="_Toc46392132" w:history="1">
            <w:r w:rsidR="00265B28" w:rsidRPr="00DC465F">
              <w:rPr>
                <w:rStyle w:val="Hyperlink"/>
                <w:noProof/>
                <w:lang w:val="en-GB"/>
              </w:rPr>
              <w:t>2</w:t>
            </w:r>
            <w:r w:rsidR="00265B28">
              <w:rPr>
                <w:rFonts w:eastAsiaTheme="minorEastAsia"/>
                <w:noProof/>
              </w:rPr>
              <w:tab/>
            </w:r>
            <w:r w:rsidR="00265B28" w:rsidRPr="00DC465F">
              <w:rPr>
                <w:rStyle w:val="Hyperlink"/>
                <w:noProof/>
                <w:lang w:val="en-GB"/>
              </w:rPr>
              <w:t>The role of CVA in nutrition programming</w:t>
            </w:r>
            <w:r w:rsidR="00265B28">
              <w:rPr>
                <w:noProof/>
                <w:webHidden/>
              </w:rPr>
              <w:tab/>
            </w:r>
            <w:r w:rsidR="00265B28">
              <w:rPr>
                <w:noProof/>
                <w:webHidden/>
              </w:rPr>
              <w:fldChar w:fldCharType="begin"/>
            </w:r>
            <w:r w:rsidR="00265B28">
              <w:rPr>
                <w:noProof/>
                <w:webHidden/>
              </w:rPr>
              <w:instrText xml:space="preserve"> PAGEREF _Toc46392132 \h </w:instrText>
            </w:r>
            <w:r w:rsidR="00265B28">
              <w:rPr>
                <w:noProof/>
                <w:webHidden/>
              </w:rPr>
            </w:r>
            <w:r w:rsidR="00265B28">
              <w:rPr>
                <w:noProof/>
                <w:webHidden/>
              </w:rPr>
              <w:fldChar w:fldCharType="separate"/>
            </w:r>
            <w:r w:rsidR="00265B28">
              <w:rPr>
                <w:noProof/>
                <w:webHidden/>
              </w:rPr>
              <w:t>4</w:t>
            </w:r>
            <w:r w:rsidR="00265B28">
              <w:rPr>
                <w:noProof/>
                <w:webHidden/>
              </w:rPr>
              <w:fldChar w:fldCharType="end"/>
            </w:r>
          </w:hyperlink>
        </w:p>
        <w:p w14:paraId="26CF3FD8" w14:textId="35316D56" w:rsidR="00265B28" w:rsidRDefault="001A1887">
          <w:pPr>
            <w:pStyle w:val="TOC1"/>
            <w:tabs>
              <w:tab w:val="left" w:pos="440"/>
              <w:tab w:val="right" w:leader="dot" w:pos="9350"/>
            </w:tabs>
            <w:rPr>
              <w:rFonts w:eastAsiaTheme="minorEastAsia"/>
              <w:noProof/>
            </w:rPr>
          </w:pPr>
          <w:hyperlink w:anchor="_Toc46392133" w:history="1">
            <w:r w:rsidR="00265B28" w:rsidRPr="00DC465F">
              <w:rPr>
                <w:rStyle w:val="Hyperlink"/>
                <w:noProof/>
                <w:lang w:val="en-GB"/>
              </w:rPr>
              <w:t>3</w:t>
            </w:r>
            <w:r w:rsidR="00265B28">
              <w:rPr>
                <w:rFonts w:eastAsiaTheme="minorEastAsia"/>
                <w:noProof/>
              </w:rPr>
              <w:tab/>
            </w:r>
            <w:r w:rsidR="00265B28" w:rsidRPr="00DC465F">
              <w:rPr>
                <w:rStyle w:val="Hyperlink"/>
                <w:noProof/>
                <w:lang w:val="en-GB"/>
              </w:rPr>
              <w:t>The use of CVA in the nutrition response in Somalia</w:t>
            </w:r>
            <w:r w:rsidR="00265B28">
              <w:rPr>
                <w:noProof/>
                <w:webHidden/>
              </w:rPr>
              <w:tab/>
            </w:r>
            <w:r w:rsidR="00265B28">
              <w:rPr>
                <w:noProof/>
                <w:webHidden/>
              </w:rPr>
              <w:fldChar w:fldCharType="begin"/>
            </w:r>
            <w:r w:rsidR="00265B28">
              <w:rPr>
                <w:noProof/>
                <w:webHidden/>
              </w:rPr>
              <w:instrText xml:space="preserve"> PAGEREF _Toc46392133 \h </w:instrText>
            </w:r>
            <w:r w:rsidR="00265B28">
              <w:rPr>
                <w:noProof/>
                <w:webHidden/>
              </w:rPr>
            </w:r>
            <w:r w:rsidR="00265B28">
              <w:rPr>
                <w:noProof/>
                <w:webHidden/>
              </w:rPr>
              <w:fldChar w:fldCharType="separate"/>
            </w:r>
            <w:r w:rsidR="00265B28">
              <w:rPr>
                <w:noProof/>
                <w:webHidden/>
              </w:rPr>
              <w:t>6</w:t>
            </w:r>
            <w:r w:rsidR="00265B28">
              <w:rPr>
                <w:noProof/>
                <w:webHidden/>
              </w:rPr>
              <w:fldChar w:fldCharType="end"/>
            </w:r>
          </w:hyperlink>
        </w:p>
        <w:p w14:paraId="77D10E58" w14:textId="34DF343B" w:rsidR="00265B28" w:rsidRDefault="001A1887">
          <w:pPr>
            <w:pStyle w:val="TOC2"/>
            <w:tabs>
              <w:tab w:val="left" w:pos="880"/>
              <w:tab w:val="right" w:leader="dot" w:pos="9350"/>
            </w:tabs>
            <w:rPr>
              <w:rFonts w:eastAsiaTheme="minorEastAsia"/>
              <w:noProof/>
            </w:rPr>
          </w:pPr>
          <w:hyperlink w:anchor="_Toc46392134" w:history="1">
            <w:r w:rsidR="00265B28" w:rsidRPr="00DC465F">
              <w:rPr>
                <w:rStyle w:val="Hyperlink"/>
                <w:noProof/>
                <w:lang w:val="en-GB"/>
              </w:rPr>
              <w:t>3.1</w:t>
            </w:r>
            <w:r w:rsidR="00265B28">
              <w:rPr>
                <w:rFonts w:eastAsiaTheme="minorEastAsia"/>
                <w:noProof/>
              </w:rPr>
              <w:tab/>
            </w:r>
            <w:r w:rsidR="00265B28" w:rsidRPr="00DC465F">
              <w:rPr>
                <w:rStyle w:val="Hyperlink"/>
                <w:noProof/>
                <w:lang w:val="en-GB"/>
              </w:rPr>
              <w:t>Pairing household cash transfer with SBC (and other measures)</w:t>
            </w:r>
            <w:r w:rsidR="00265B28">
              <w:rPr>
                <w:noProof/>
                <w:webHidden/>
              </w:rPr>
              <w:tab/>
            </w:r>
            <w:r w:rsidR="00265B28">
              <w:rPr>
                <w:noProof/>
                <w:webHidden/>
              </w:rPr>
              <w:fldChar w:fldCharType="begin"/>
            </w:r>
            <w:r w:rsidR="00265B28">
              <w:rPr>
                <w:noProof/>
                <w:webHidden/>
              </w:rPr>
              <w:instrText xml:space="preserve"> PAGEREF _Toc46392134 \h </w:instrText>
            </w:r>
            <w:r w:rsidR="00265B28">
              <w:rPr>
                <w:noProof/>
                <w:webHidden/>
              </w:rPr>
            </w:r>
            <w:r w:rsidR="00265B28">
              <w:rPr>
                <w:noProof/>
                <w:webHidden/>
              </w:rPr>
              <w:fldChar w:fldCharType="separate"/>
            </w:r>
            <w:r w:rsidR="00265B28">
              <w:rPr>
                <w:noProof/>
                <w:webHidden/>
              </w:rPr>
              <w:t>6</w:t>
            </w:r>
            <w:r w:rsidR="00265B28">
              <w:rPr>
                <w:noProof/>
                <w:webHidden/>
              </w:rPr>
              <w:fldChar w:fldCharType="end"/>
            </w:r>
          </w:hyperlink>
        </w:p>
        <w:p w14:paraId="2A202DBF" w14:textId="32441573" w:rsidR="00265B28" w:rsidRDefault="001A1887">
          <w:pPr>
            <w:pStyle w:val="TOC2"/>
            <w:tabs>
              <w:tab w:val="left" w:pos="880"/>
              <w:tab w:val="right" w:leader="dot" w:pos="9350"/>
            </w:tabs>
            <w:rPr>
              <w:rFonts w:eastAsiaTheme="minorEastAsia"/>
              <w:noProof/>
            </w:rPr>
          </w:pPr>
          <w:hyperlink w:anchor="_Toc46392135" w:history="1">
            <w:r w:rsidR="00265B28" w:rsidRPr="00DC465F">
              <w:rPr>
                <w:rStyle w:val="Hyperlink"/>
                <w:noProof/>
                <w:lang w:val="en-GB"/>
              </w:rPr>
              <w:t>3.2</w:t>
            </w:r>
            <w:r w:rsidR="00265B28">
              <w:rPr>
                <w:rFonts w:eastAsiaTheme="minorEastAsia"/>
                <w:noProof/>
              </w:rPr>
              <w:tab/>
            </w:r>
            <w:r w:rsidR="00265B28" w:rsidRPr="00DC465F">
              <w:rPr>
                <w:rStyle w:val="Hyperlink"/>
                <w:noProof/>
                <w:lang w:val="en-GB"/>
              </w:rPr>
              <w:t>Pairing household assistance with individual feeding assistance</w:t>
            </w:r>
            <w:r w:rsidR="00265B28">
              <w:rPr>
                <w:noProof/>
                <w:webHidden/>
              </w:rPr>
              <w:tab/>
            </w:r>
            <w:r w:rsidR="00265B28">
              <w:rPr>
                <w:noProof/>
                <w:webHidden/>
              </w:rPr>
              <w:fldChar w:fldCharType="begin"/>
            </w:r>
            <w:r w:rsidR="00265B28">
              <w:rPr>
                <w:noProof/>
                <w:webHidden/>
              </w:rPr>
              <w:instrText xml:space="preserve"> PAGEREF _Toc46392135 \h </w:instrText>
            </w:r>
            <w:r w:rsidR="00265B28">
              <w:rPr>
                <w:noProof/>
                <w:webHidden/>
              </w:rPr>
            </w:r>
            <w:r w:rsidR="00265B28">
              <w:rPr>
                <w:noProof/>
                <w:webHidden/>
              </w:rPr>
              <w:fldChar w:fldCharType="separate"/>
            </w:r>
            <w:r w:rsidR="00265B28">
              <w:rPr>
                <w:noProof/>
                <w:webHidden/>
              </w:rPr>
              <w:t>7</w:t>
            </w:r>
            <w:r w:rsidR="00265B28">
              <w:rPr>
                <w:noProof/>
                <w:webHidden/>
              </w:rPr>
              <w:fldChar w:fldCharType="end"/>
            </w:r>
          </w:hyperlink>
        </w:p>
        <w:p w14:paraId="2F87C1E5" w14:textId="12E3D301" w:rsidR="00265B28" w:rsidRDefault="001A1887">
          <w:pPr>
            <w:pStyle w:val="TOC2"/>
            <w:tabs>
              <w:tab w:val="left" w:pos="880"/>
              <w:tab w:val="right" w:leader="dot" w:pos="9350"/>
            </w:tabs>
            <w:rPr>
              <w:rFonts w:eastAsiaTheme="minorEastAsia"/>
              <w:noProof/>
            </w:rPr>
          </w:pPr>
          <w:hyperlink w:anchor="_Toc46392136" w:history="1">
            <w:r w:rsidR="00265B28" w:rsidRPr="00DC465F">
              <w:rPr>
                <w:rStyle w:val="Hyperlink"/>
                <w:noProof/>
                <w:lang w:val="en-GB"/>
              </w:rPr>
              <w:t>3.3</w:t>
            </w:r>
            <w:r w:rsidR="00265B28">
              <w:rPr>
                <w:rFonts w:eastAsiaTheme="minorEastAsia"/>
                <w:noProof/>
              </w:rPr>
              <w:tab/>
            </w:r>
            <w:r w:rsidR="00265B28" w:rsidRPr="00DC465F">
              <w:rPr>
                <w:rStyle w:val="Hyperlink"/>
                <w:noProof/>
                <w:lang w:val="en-GB"/>
              </w:rPr>
              <w:t>Provide general household CVA to caregivers who access SAM treatment</w:t>
            </w:r>
            <w:r w:rsidR="00265B28">
              <w:rPr>
                <w:noProof/>
                <w:webHidden/>
              </w:rPr>
              <w:tab/>
            </w:r>
            <w:r w:rsidR="00265B28">
              <w:rPr>
                <w:noProof/>
                <w:webHidden/>
              </w:rPr>
              <w:fldChar w:fldCharType="begin"/>
            </w:r>
            <w:r w:rsidR="00265B28">
              <w:rPr>
                <w:noProof/>
                <w:webHidden/>
              </w:rPr>
              <w:instrText xml:space="preserve"> PAGEREF _Toc46392136 \h </w:instrText>
            </w:r>
            <w:r w:rsidR="00265B28">
              <w:rPr>
                <w:noProof/>
                <w:webHidden/>
              </w:rPr>
            </w:r>
            <w:r w:rsidR="00265B28">
              <w:rPr>
                <w:noProof/>
                <w:webHidden/>
              </w:rPr>
              <w:fldChar w:fldCharType="separate"/>
            </w:r>
            <w:r w:rsidR="00265B28">
              <w:rPr>
                <w:noProof/>
                <w:webHidden/>
              </w:rPr>
              <w:t>8</w:t>
            </w:r>
            <w:r w:rsidR="00265B28">
              <w:rPr>
                <w:noProof/>
                <w:webHidden/>
              </w:rPr>
              <w:fldChar w:fldCharType="end"/>
            </w:r>
          </w:hyperlink>
        </w:p>
        <w:p w14:paraId="062628F0" w14:textId="635924DA" w:rsidR="00265B28" w:rsidRDefault="001A1887">
          <w:pPr>
            <w:pStyle w:val="TOC1"/>
            <w:tabs>
              <w:tab w:val="left" w:pos="440"/>
              <w:tab w:val="right" w:leader="dot" w:pos="9350"/>
            </w:tabs>
            <w:rPr>
              <w:rFonts w:eastAsiaTheme="minorEastAsia"/>
              <w:noProof/>
            </w:rPr>
          </w:pPr>
          <w:hyperlink w:anchor="_Toc46392137" w:history="1">
            <w:r w:rsidR="00265B28" w:rsidRPr="00DC465F">
              <w:rPr>
                <w:rStyle w:val="Hyperlink"/>
                <w:noProof/>
                <w:lang w:val="en-GB"/>
              </w:rPr>
              <w:t>4</w:t>
            </w:r>
            <w:r w:rsidR="00265B28">
              <w:rPr>
                <w:rFonts w:eastAsiaTheme="minorEastAsia"/>
                <w:noProof/>
              </w:rPr>
              <w:tab/>
            </w:r>
            <w:r w:rsidR="00265B28" w:rsidRPr="00DC465F">
              <w:rPr>
                <w:rStyle w:val="Hyperlink"/>
                <w:noProof/>
                <w:lang w:val="en-GB"/>
              </w:rPr>
              <w:t>CVA in Somalia</w:t>
            </w:r>
            <w:r w:rsidR="00265B28">
              <w:rPr>
                <w:noProof/>
                <w:webHidden/>
              </w:rPr>
              <w:tab/>
            </w:r>
            <w:r w:rsidR="00265B28">
              <w:rPr>
                <w:noProof/>
                <w:webHidden/>
              </w:rPr>
              <w:fldChar w:fldCharType="begin"/>
            </w:r>
            <w:r w:rsidR="00265B28">
              <w:rPr>
                <w:noProof/>
                <w:webHidden/>
              </w:rPr>
              <w:instrText xml:space="preserve"> PAGEREF _Toc46392137 \h </w:instrText>
            </w:r>
            <w:r w:rsidR="00265B28">
              <w:rPr>
                <w:noProof/>
                <w:webHidden/>
              </w:rPr>
            </w:r>
            <w:r w:rsidR="00265B28">
              <w:rPr>
                <w:noProof/>
                <w:webHidden/>
              </w:rPr>
              <w:fldChar w:fldCharType="separate"/>
            </w:r>
            <w:r w:rsidR="00265B28">
              <w:rPr>
                <w:noProof/>
                <w:webHidden/>
              </w:rPr>
              <w:t>9</w:t>
            </w:r>
            <w:r w:rsidR="00265B28">
              <w:rPr>
                <w:noProof/>
                <w:webHidden/>
              </w:rPr>
              <w:fldChar w:fldCharType="end"/>
            </w:r>
          </w:hyperlink>
        </w:p>
        <w:p w14:paraId="00FD4241" w14:textId="42694555" w:rsidR="00265B28" w:rsidRDefault="001A1887">
          <w:pPr>
            <w:pStyle w:val="TOC2"/>
            <w:tabs>
              <w:tab w:val="left" w:pos="880"/>
              <w:tab w:val="right" w:leader="dot" w:pos="9350"/>
            </w:tabs>
            <w:rPr>
              <w:rFonts w:eastAsiaTheme="minorEastAsia"/>
              <w:noProof/>
            </w:rPr>
          </w:pPr>
          <w:hyperlink w:anchor="_Toc46392138" w:history="1">
            <w:r w:rsidR="00265B28" w:rsidRPr="00DC465F">
              <w:rPr>
                <w:rStyle w:val="Hyperlink"/>
                <w:noProof/>
                <w:lang w:val="en-GB"/>
              </w:rPr>
              <w:t>4.1</w:t>
            </w:r>
            <w:r w:rsidR="00265B28">
              <w:rPr>
                <w:rFonts w:eastAsiaTheme="minorEastAsia"/>
                <w:noProof/>
              </w:rPr>
              <w:tab/>
            </w:r>
            <w:r w:rsidR="00265B28" w:rsidRPr="00DC465F">
              <w:rPr>
                <w:rStyle w:val="Hyperlink"/>
                <w:noProof/>
                <w:lang w:val="en-GB"/>
              </w:rPr>
              <w:t>Overview</w:t>
            </w:r>
            <w:r w:rsidR="00265B28">
              <w:rPr>
                <w:noProof/>
                <w:webHidden/>
              </w:rPr>
              <w:tab/>
            </w:r>
            <w:r w:rsidR="00265B28">
              <w:rPr>
                <w:noProof/>
                <w:webHidden/>
              </w:rPr>
              <w:fldChar w:fldCharType="begin"/>
            </w:r>
            <w:r w:rsidR="00265B28">
              <w:rPr>
                <w:noProof/>
                <w:webHidden/>
              </w:rPr>
              <w:instrText xml:space="preserve"> PAGEREF _Toc46392138 \h </w:instrText>
            </w:r>
            <w:r w:rsidR="00265B28">
              <w:rPr>
                <w:noProof/>
                <w:webHidden/>
              </w:rPr>
            </w:r>
            <w:r w:rsidR="00265B28">
              <w:rPr>
                <w:noProof/>
                <w:webHidden/>
              </w:rPr>
              <w:fldChar w:fldCharType="separate"/>
            </w:r>
            <w:r w:rsidR="00265B28">
              <w:rPr>
                <w:noProof/>
                <w:webHidden/>
              </w:rPr>
              <w:t>9</w:t>
            </w:r>
            <w:r w:rsidR="00265B28">
              <w:rPr>
                <w:noProof/>
                <w:webHidden/>
              </w:rPr>
              <w:fldChar w:fldCharType="end"/>
            </w:r>
          </w:hyperlink>
        </w:p>
        <w:p w14:paraId="0EE35A88" w14:textId="04B76851" w:rsidR="00265B28" w:rsidRDefault="001A1887">
          <w:pPr>
            <w:pStyle w:val="TOC2"/>
            <w:tabs>
              <w:tab w:val="left" w:pos="880"/>
              <w:tab w:val="right" w:leader="dot" w:pos="9350"/>
            </w:tabs>
            <w:rPr>
              <w:rFonts w:eastAsiaTheme="minorEastAsia"/>
              <w:noProof/>
            </w:rPr>
          </w:pPr>
          <w:hyperlink w:anchor="_Toc46392139" w:history="1">
            <w:r w:rsidR="00265B28" w:rsidRPr="00DC465F">
              <w:rPr>
                <w:rStyle w:val="Hyperlink"/>
                <w:noProof/>
                <w:lang w:val="en-GB"/>
              </w:rPr>
              <w:t>4.2</w:t>
            </w:r>
            <w:r w:rsidR="00265B28">
              <w:rPr>
                <w:rFonts w:eastAsiaTheme="minorEastAsia"/>
                <w:noProof/>
              </w:rPr>
              <w:tab/>
            </w:r>
            <w:r w:rsidR="00265B28" w:rsidRPr="00DC465F">
              <w:rPr>
                <w:rStyle w:val="Hyperlink"/>
                <w:noProof/>
                <w:lang w:val="en-GB"/>
              </w:rPr>
              <w:t>Applying a nutrition lens to household CVA</w:t>
            </w:r>
            <w:r w:rsidR="00265B28">
              <w:rPr>
                <w:noProof/>
                <w:webHidden/>
              </w:rPr>
              <w:tab/>
            </w:r>
            <w:r w:rsidR="00265B28">
              <w:rPr>
                <w:noProof/>
                <w:webHidden/>
              </w:rPr>
              <w:fldChar w:fldCharType="begin"/>
            </w:r>
            <w:r w:rsidR="00265B28">
              <w:rPr>
                <w:noProof/>
                <w:webHidden/>
              </w:rPr>
              <w:instrText xml:space="preserve"> PAGEREF _Toc46392139 \h </w:instrText>
            </w:r>
            <w:r w:rsidR="00265B28">
              <w:rPr>
                <w:noProof/>
                <w:webHidden/>
              </w:rPr>
            </w:r>
            <w:r w:rsidR="00265B28">
              <w:rPr>
                <w:noProof/>
                <w:webHidden/>
              </w:rPr>
              <w:fldChar w:fldCharType="separate"/>
            </w:r>
            <w:r w:rsidR="00265B28">
              <w:rPr>
                <w:noProof/>
                <w:webHidden/>
              </w:rPr>
              <w:t>10</w:t>
            </w:r>
            <w:r w:rsidR="00265B28">
              <w:rPr>
                <w:noProof/>
                <w:webHidden/>
              </w:rPr>
              <w:fldChar w:fldCharType="end"/>
            </w:r>
          </w:hyperlink>
        </w:p>
        <w:p w14:paraId="4314DF9C" w14:textId="6B0B8820" w:rsidR="00265B28" w:rsidRDefault="001A1887">
          <w:pPr>
            <w:pStyle w:val="TOC1"/>
            <w:tabs>
              <w:tab w:val="left" w:pos="440"/>
              <w:tab w:val="right" w:leader="dot" w:pos="9350"/>
            </w:tabs>
            <w:rPr>
              <w:rFonts w:eastAsiaTheme="minorEastAsia"/>
              <w:noProof/>
            </w:rPr>
          </w:pPr>
          <w:hyperlink w:anchor="_Toc46392140" w:history="1">
            <w:r w:rsidR="00265B28" w:rsidRPr="00DC465F">
              <w:rPr>
                <w:rStyle w:val="Hyperlink"/>
                <w:noProof/>
                <w:lang w:val="en-GB"/>
              </w:rPr>
              <w:t>5</w:t>
            </w:r>
            <w:r w:rsidR="00265B28">
              <w:rPr>
                <w:rFonts w:eastAsiaTheme="minorEastAsia"/>
                <w:noProof/>
              </w:rPr>
              <w:tab/>
            </w:r>
            <w:r w:rsidR="00265B28" w:rsidRPr="00DC465F">
              <w:rPr>
                <w:rStyle w:val="Hyperlink"/>
                <w:noProof/>
                <w:lang w:val="en-GB"/>
              </w:rPr>
              <w:t>Affordability of a nutritious diet</w:t>
            </w:r>
            <w:r w:rsidR="00265B28">
              <w:rPr>
                <w:noProof/>
                <w:webHidden/>
              </w:rPr>
              <w:tab/>
            </w:r>
            <w:r w:rsidR="00265B28">
              <w:rPr>
                <w:noProof/>
                <w:webHidden/>
              </w:rPr>
              <w:fldChar w:fldCharType="begin"/>
            </w:r>
            <w:r w:rsidR="00265B28">
              <w:rPr>
                <w:noProof/>
                <w:webHidden/>
              </w:rPr>
              <w:instrText xml:space="preserve"> PAGEREF _Toc46392140 \h </w:instrText>
            </w:r>
            <w:r w:rsidR="00265B28">
              <w:rPr>
                <w:noProof/>
                <w:webHidden/>
              </w:rPr>
            </w:r>
            <w:r w:rsidR="00265B28">
              <w:rPr>
                <w:noProof/>
                <w:webHidden/>
              </w:rPr>
              <w:fldChar w:fldCharType="separate"/>
            </w:r>
            <w:r w:rsidR="00265B28">
              <w:rPr>
                <w:noProof/>
                <w:webHidden/>
              </w:rPr>
              <w:t>12</w:t>
            </w:r>
            <w:r w:rsidR="00265B28">
              <w:rPr>
                <w:noProof/>
                <w:webHidden/>
              </w:rPr>
              <w:fldChar w:fldCharType="end"/>
            </w:r>
          </w:hyperlink>
        </w:p>
        <w:p w14:paraId="12D33E9A" w14:textId="0DD2CCE2" w:rsidR="00265B28" w:rsidRDefault="001A1887">
          <w:pPr>
            <w:pStyle w:val="TOC1"/>
            <w:tabs>
              <w:tab w:val="left" w:pos="440"/>
              <w:tab w:val="right" w:leader="dot" w:pos="9350"/>
            </w:tabs>
            <w:rPr>
              <w:rFonts w:eastAsiaTheme="minorEastAsia"/>
              <w:noProof/>
            </w:rPr>
          </w:pPr>
          <w:hyperlink w:anchor="_Toc46392141" w:history="1">
            <w:r w:rsidR="00265B28" w:rsidRPr="00DC465F">
              <w:rPr>
                <w:rStyle w:val="Hyperlink"/>
                <w:noProof/>
                <w:lang w:val="en-GB"/>
              </w:rPr>
              <w:t>6</w:t>
            </w:r>
            <w:r w:rsidR="00265B28">
              <w:rPr>
                <w:rFonts w:eastAsiaTheme="minorEastAsia"/>
                <w:noProof/>
              </w:rPr>
              <w:tab/>
            </w:r>
            <w:r w:rsidR="00265B28" w:rsidRPr="00DC465F">
              <w:rPr>
                <w:rStyle w:val="Hyperlink"/>
                <w:noProof/>
                <w:lang w:val="en-GB"/>
              </w:rPr>
              <w:t>Conclusion</w:t>
            </w:r>
            <w:r w:rsidR="00265B28">
              <w:rPr>
                <w:noProof/>
                <w:webHidden/>
              </w:rPr>
              <w:tab/>
            </w:r>
            <w:r w:rsidR="00265B28">
              <w:rPr>
                <w:noProof/>
                <w:webHidden/>
              </w:rPr>
              <w:fldChar w:fldCharType="begin"/>
            </w:r>
            <w:r w:rsidR="00265B28">
              <w:rPr>
                <w:noProof/>
                <w:webHidden/>
              </w:rPr>
              <w:instrText xml:space="preserve"> PAGEREF _Toc46392141 \h </w:instrText>
            </w:r>
            <w:r w:rsidR="00265B28">
              <w:rPr>
                <w:noProof/>
                <w:webHidden/>
              </w:rPr>
            </w:r>
            <w:r w:rsidR="00265B28">
              <w:rPr>
                <w:noProof/>
                <w:webHidden/>
              </w:rPr>
              <w:fldChar w:fldCharType="separate"/>
            </w:r>
            <w:r w:rsidR="00265B28">
              <w:rPr>
                <w:noProof/>
                <w:webHidden/>
              </w:rPr>
              <w:t>13</w:t>
            </w:r>
            <w:r w:rsidR="00265B28">
              <w:rPr>
                <w:noProof/>
                <w:webHidden/>
              </w:rPr>
              <w:fldChar w:fldCharType="end"/>
            </w:r>
          </w:hyperlink>
        </w:p>
        <w:p w14:paraId="4D154A59" w14:textId="4AC702BF" w:rsidR="00265B28" w:rsidRDefault="001A1887">
          <w:pPr>
            <w:pStyle w:val="TOC1"/>
            <w:tabs>
              <w:tab w:val="left" w:pos="440"/>
              <w:tab w:val="right" w:leader="dot" w:pos="9350"/>
            </w:tabs>
            <w:rPr>
              <w:rFonts w:eastAsiaTheme="minorEastAsia"/>
              <w:noProof/>
            </w:rPr>
          </w:pPr>
          <w:hyperlink w:anchor="_Toc46392142" w:history="1">
            <w:r w:rsidR="00265B28" w:rsidRPr="00DC465F">
              <w:rPr>
                <w:rStyle w:val="Hyperlink"/>
                <w:noProof/>
                <w:lang w:val="en-GB"/>
              </w:rPr>
              <w:t>7</w:t>
            </w:r>
            <w:r w:rsidR="00265B28">
              <w:rPr>
                <w:rFonts w:eastAsiaTheme="minorEastAsia"/>
                <w:noProof/>
              </w:rPr>
              <w:tab/>
            </w:r>
            <w:r w:rsidR="00265B28" w:rsidRPr="00DC465F">
              <w:rPr>
                <w:rStyle w:val="Hyperlink"/>
                <w:noProof/>
                <w:lang w:val="en-GB"/>
              </w:rPr>
              <w:t>Recommendations</w:t>
            </w:r>
            <w:r w:rsidR="00265B28">
              <w:rPr>
                <w:noProof/>
                <w:webHidden/>
              </w:rPr>
              <w:tab/>
            </w:r>
            <w:r w:rsidR="00265B28">
              <w:rPr>
                <w:noProof/>
                <w:webHidden/>
              </w:rPr>
              <w:fldChar w:fldCharType="begin"/>
            </w:r>
            <w:r w:rsidR="00265B28">
              <w:rPr>
                <w:noProof/>
                <w:webHidden/>
              </w:rPr>
              <w:instrText xml:space="preserve"> PAGEREF _Toc46392142 \h </w:instrText>
            </w:r>
            <w:r w:rsidR="00265B28">
              <w:rPr>
                <w:noProof/>
                <w:webHidden/>
              </w:rPr>
            </w:r>
            <w:r w:rsidR="00265B28">
              <w:rPr>
                <w:noProof/>
                <w:webHidden/>
              </w:rPr>
              <w:fldChar w:fldCharType="separate"/>
            </w:r>
            <w:r w:rsidR="00265B28">
              <w:rPr>
                <w:noProof/>
                <w:webHidden/>
              </w:rPr>
              <w:t>14</w:t>
            </w:r>
            <w:r w:rsidR="00265B28">
              <w:rPr>
                <w:noProof/>
                <w:webHidden/>
              </w:rPr>
              <w:fldChar w:fldCharType="end"/>
            </w:r>
          </w:hyperlink>
        </w:p>
        <w:p w14:paraId="44D21F35" w14:textId="4F767EDB" w:rsidR="00265B28" w:rsidRDefault="001A1887">
          <w:pPr>
            <w:pStyle w:val="TOC1"/>
            <w:tabs>
              <w:tab w:val="right" w:leader="dot" w:pos="9350"/>
            </w:tabs>
            <w:rPr>
              <w:rFonts w:eastAsiaTheme="minorEastAsia"/>
              <w:noProof/>
            </w:rPr>
          </w:pPr>
          <w:hyperlink w:anchor="_Toc46392143" w:history="1">
            <w:r w:rsidR="00265B28" w:rsidRPr="00DC465F">
              <w:rPr>
                <w:rStyle w:val="Hyperlink"/>
                <w:noProof/>
                <w:lang w:val="en-GB"/>
              </w:rPr>
              <w:t>References</w:t>
            </w:r>
            <w:r w:rsidR="00265B28">
              <w:rPr>
                <w:noProof/>
                <w:webHidden/>
              </w:rPr>
              <w:tab/>
            </w:r>
            <w:r w:rsidR="00265B28">
              <w:rPr>
                <w:noProof/>
                <w:webHidden/>
              </w:rPr>
              <w:fldChar w:fldCharType="begin"/>
            </w:r>
            <w:r w:rsidR="00265B28">
              <w:rPr>
                <w:noProof/>
                <w:webHidden/>
              </w:rPr>
              <w:instrText xml:space="preserve"> PAGEREF _Toc46392143 \h </w:instrText>
            </w:r>
            <w:r w:rsidR="00265B28">
              <w:rPr>
                <w:noProof/>
                <w:webHidden/>
              </w:rPr>
            </w:r>
            <w:r w:rsidR="00265B28">
              <w:rPr>
                <w:noProof/>
                <w:webHidden/>
              </w:rPr>
              <w:fldChar w:fldCharType="separate"/>
            </w:r>
            <w:r w:rsidR="00265B28">
              <w:rPr>
                <w:noProof/>
                <w:webHidden/>
              </w:rPr>
              <w:t>16</w:t>
            </w:r>
            <w:r w:rsidR="00265B28">
              <w:rPr>
                <w:noProof/>
                <w:webHidden/>
              </w:rPr>
              <w:fldChar w:fldCharType="end"/>
            </w:r>
          </w:hyperlink>
        </w:p>
        <w:p w14:paraId="4C041D27" w14:textId="082C3642" w:rsidR="00265B28" w:rsidRDefault="001A1887">
          <w:pPr>
            <w:pStyle w:val="TOC1"/>
            <w:tabs>
              <w:tab w:val="right" w:leader="dot" w:pos="9350"/>
            </w:tabs>
            <w:rPr>
              <w:rFonts w:eastAsiaTheme="minorEastAsia"/>
              <w:noProof/>
            </w:rPr>
          </w:pPr>
          <w:hyperlink w:anchor="_Toc46392144" w:history="1">
            <w:r w:rsidR="00265B28" w:rsidRPr="00DC465F">
              <w:rPr>
                <w:rStyle w:val="Hyperlink"/>
                <w:noProof/>
                <w:lang w:val="en-GB"/>
              </w:rPr>
              <w:t>Annex 1: Demand and supply side barriers to adequate nutrition</w:t>
            </w:r>
            <w:r w:rsidR="00265B28">
              <w:rPr>
                <w:noProof/>
                <w:webHidden/>
              </w:rPr>
              <w:tab/>
            </w:r>
            <w:r w:rsidR="00265B28">
              <w:rPr>
                <w:noProof/>
                <w:webHidden/>
              </w:rPr>
              <w:fldChar w:fldCharType="begin"/>
            </w:r>
            <w:r w:rsidR="00265B28">
              <w:rPr>
                <w:noProof/>
                <w:webHidden/>
              </w:rPr>
              <w:instrText xml:space="preserve"> PAGEREF _Toc46392144 \h </w:instrText>
            </w:r>
            <w:r w:rsidR="00265B28">
              <w:rPr>
                <w:noProof/>
                <w:webHidden/>
              </w:rPr>
            </w:r>
            <w:r w:rsidR="00265B28">
              <w:rPr>
                <w:noProof/>
                <w:webHidden/>
              </w:rPr>
              <w:fldChar w:fldCharType="separate"/>
            </w:r>
            <w:r w:rsidR="00265B28">
              <w:rPr>
                <w:noProof/>
                <w:webHidden/>
              </w:rPr>
              <w:t>17</w:t>
            </w:r>
            <w:r w:rsidR="00265B28">
              <w:rPr>
                <w:noProof/>
                <w:webHidden/>
              </w:rPr>
              <w:fldChar w:fldCharType="end"/>
            </w:r>
          </w:hyperlink>
        </w:p>
        <w:p w14:paraId="54DF4665" w14:textId="1D2E0499" w:rsidR="00265B28" w:rsidRDefault="001A1887">
          <w:pPr>
            <w:pStyle w:val="TOC1"/>
            <w:tabs>
              <w:tab w:val="right" w:leader="dot" w:pos="9350"/>
            </w:tabs>
            <w:rPr>
              <w:rFonts w:eastAsiaTheme="minorEastAsia"/>
              <w:noProof/>
            </w:rPr>
          </w:pPr>
          <w:hyperlink w:anchor="_Toc46392145" w:history="1">
            <w:r w:rsidR="00265B28" w:rsidRPr="00DC465F">
              <w:rPr>
                <w:rStyle w:val="Hyperlink"/>
                <w:noProof/>
                <w:lang w:val="en-GB"/>
              </w:rPr>
              <w:t>Annex 2: Summary of evidence base</w:t>
            </w:r>
            <w:r w:rsidR="00265B28">
              <w:rPr>
                <w:noProof/>
                <w:webHidden/>
              </w:rPr>
              <w:tab/>
            </w:r>
            <w:r w:rsidR="00265B28">
              <w:rPr>
                <w:noProof/>
                <w:webHidden/>
              </w:rPr>
              <w:fldChar w:fldCharType="begin"/>
            </w:r>
            <w:r w:rsidR="00265B28">
              <w:rPr>
                <w:noProof/>
                <w:webHidden/>
              </w:rPr>
              <w:instrText xml:space="preserve"> PAGEREF _Toc46392145 \h </w:instrText>
            </w:r>
            <w:r w:rsidR="00265B28">
              <w:rPr>
                <w:noProof/>
                <w:webHidden/>
              </w:rPr>
            </w:r>
            <w:r w:rsidR="00265B28">
              <w:rPr>
                <w:noProof/>
                <w:webHidden/>
              </w:rPr>
              <w:fldChar w:fldCharType="separate"/>
            </w:r>
            <w:r w:rsidR="00265B28">
              <w:rPr>
                <w:noProof/>
                <w:webHidden/>
              </w:rPr>
              <w:t>18</w:t>
            </w:r>
            <w:r w:rsidR="00265B28">
              <w:rPr>
                <w:noProof/>
                <w:webHidden/>
              </w:rPr>
              <w:fldChar w:fldCharType="end"/>
            </w:r>
          </w:hyperlink>
        </w:p>
        <w:p w14:paraId="149C79BE" w14:textId="63C9CABE" w:rsidR="00265B28" w:rsidRDefault="001A1887">
          <w:pPr>
            <w:pStyle w:val="TOC1"/>
            <w:tabs>
              <w:tab w:val="right" w:leader="dot" w:pos="9350"/>
            </w:tabs>
            <w:rPr>
              <w:rFonts w:eastAsiaTheme="minorEastAsia"/>
              <w:noProof/>
            </w:rPr>
          </w:pPr>
          <w:hyperlink w:anchor="_Toc46392146" w:history="1">
            <w:r w:rsidR="00265B28" w:rsidRPr="00DC465F">
              <w:rPr>
                <w:rStyle w:val="Hyperlink"/>
                <w:noProof/>
                <w:lang w:val="en-GB"/>
              </w:rPr>
              <w:t>Annex 3: Peer reviewed studies and operational examples from Somalia</w:t>
            </w:r>
            <w:r w:rsidR="00265B28">
              <w:rPr>
                <w:noProof/>
                <w:webHidden/>
              </w:rPr>
              <w:tab/>
            </w:r>
            <w:r w:rsidR="00265B28">
              <w:rPr>
                <w:noProof/>
                <w:webHidden/>
              </w:rPr>
              <w:fldChar w:fldCharType="begin"/>
            </w:r>
            <w:r w:rsidR="00265B28">
              <w:rPr>
                <w:noProof/>
                <w:webHidden/>
              </w:rPr>
              <w:instrText xml:space="preserve"> PAGEREF _Toc46392146 \h </w:instrText>
            </w:r>
            <w:r w:rsidR="00265B28">
              <w:rPr>
                <w:noProof/>
                <w:webHidden/>
              </w:rPr>
            </w:r>
            <w:r w:rsidR="00265B28">
              <w:rPr>
                <w:noProof/>
                <w:webHidden/>
              </w:rPr>
              <w:fldChar w:fldCharType="separate"/>
            </w:r>
            <w:r w:rsidR="00265B28">
              <w:rPr>
                <w:noProof/>
                <w:webHidden/>
              </w:rPr>
              <w:t>23</w:t>
            </w:r>
            <w:r w:rsidR="00265B28">
              <w:rPr>
                <w:noProof/>
                <w:webHidden/>
              </w:rPr>
              <w:fldChar w:fldCharType="end"/>
            </w:r>
          </w:hyperlink>
        </w:p>
        <w:p w14:paraId="51F73AD3" w14:textId="2D6D4415" w:rsidR="00265B28" w:rsidRDefault="001A1887">
          <w:pPr>
            <w:pStyle w:val="TOC1"/>
            <w:tabs>
              <w:tab w:val="right" w:leader="dot" w:pos="9350"/>
            </w:tabs>
            <w:rPr>
              <w:rFonts w:eastAsiaTheme="minorEastAsia"/>
              <w:noProof/>
            </w:rPr>
          </w:pPr>
          <w:hyperlink w:anchor="_Toc46392147" w:history="1">
            <w:r w:rsidR="00265B28" w:rsidRPr="00DC465F">
              <w:rPr>
                <w:rStyle w:val="Hyperlink"/>
                <w:noProof/>
                <w:lang w:val="en-GB"/>
              </w:rPr>
              <w:t>Annex 4: Monitoring of CVA for nutrition outcomes</w:t>
            </w:r>
            <w:r w:rsidR="00265B28">
              <w:rPr>
                <w:noProof/>
                <w:webHidden/>
              </w:rPr>
              <w:tab/>
            </w:r>
            <w:r w:rsidR="00265B28">
              <w:rPr>
                <w:noProof/>
                <w:webHidden/>
              </w:rPr>
              <w:fldChar w:fldCharType="begin"/>
            </w:r>
            <w:r w:rsidR="00265B28">
              <w:rPr>
                <w:noProof/>
                <w:webHidden/>
              </w:rPr>
              <w:instrText xml:space="preserve"> PAGEREF _Toc46392147 \h </w:instrText>
            </w:r>
            <w:r w:rsidR="00265B28">
              <w:rPr>
                <w:noProof/>
                <w:webHidden/>
              </w:rPr>
            </w:r>
            <w:r w:rsidR="00265B28">
              <w:rPr>
                <w:noProof/>
                <w:webHidden/>
              </w:rPr>
              <w:fldChar w:fldCharType="separate"/>
            </w:r>
            <w:r w:rsidR="00265B28">
              <w:rPr>
                <w:noProof/>
                <w:webHidden/>
              </w:rPr>
              <w:t>27</w:t>
            </w:r>
            <w:r w:rsidR="00265B28">
              <w:rPr>
                <w:noProof/>
                <w:webHidden/>
              </w:rPr>
              <w:fldChar w:fldCharType="end"/>
            </w:r>
          </w:hyperlink>
        </w:p>
        <w:p w14:paraId="14989176" w14:textId="598D8581" w:rsidR="00265B28" w:rsidRDefault="001A1887">
          <w:pPr>
            <w:pStyle w:val="TOC1"/>
            <w:tabs>
              <w:tab w:val="right" w:leader="dot" w:pos="9350"/>
            </w:tabs>
            <w:rPr>
              <w:rFonts w:eastAsiaTheme="minorEastAsia"/>
              <w:noProof/>
            </w:rPr>
          </w:pPr>
          <w:hyperlink w:anchor="_Toc46392148" w:history="1">
            <w:r w:rsidR="00265B28" w:rsidRPr="00DC465F">
              <w:rPr>
                <w:rStyle w:val="Hyperlink"/>
                <w:noProof/>
                <w:lang w:val="en-GB"/>
              </w:rPr>
              <w:t>Annex 5: CVA for nutrition outcomes in times of COVID 19</w:t>
            </w:r>
            <w:r w:rsidR="00265B28">
              <w:rPr>
                <w:noProof/>
                <w:webHidden/>
              </w:rPr>
              <w:tab/>
            </w:r>
            <w:r w:rsidR="00265B28">
              <w:rPr>
                <w:noProof/>
                <w:webHidden/>
              </w:rPr>
              <w:fldChar w:fldCharType="begin"/>
            </w:r>
            <w:r w:rsidR="00265B28">
              <w:rPr>
                <w:noProof/>
                <w:webHidden/>
              </w:rPr>
              <w:instrText xml:space="preserve"> PAGEREF _Toc46392148 \h </w:instrText>
            </w:r>
            <w:r w:rsidR="00265B28">
              <w:rPr>
                <w:noProof/>
                <w:webHidden/>
              </w:rPr>
            </w:r>
            <w:r w:rsidR="00265B28">
              <w:rPr>
                <w:noProof/>
                <w:webHidden/>
              </w:rPr>
              <w:fldChar w:fldCharType="separate"/>
            </w:r>
            <w:r w:rsidR="00265B28">
              <w:rPr>
                <w:noProof/>
                <w:webHidden/>
              </w:rPr>
              <w:t>28</w:t>
            </w:r>
            <w:r w:rsidR="00265B28">
              <w:rPr>
                <w:noProof/>
                <w:webHidden/>
              </w:rPr>
              <w:fldChar w:fldCharType="end"/>
            </w:r>
          </w:hyperlink>
        </w:p>
        <w:p w14:paraId="5C0D64B6" w14:textId="414B3D74" w:rsidR="000304FF" w:rsidRPr="00513BF4" w:rsidRDefault="000304FF" w:rsidP="00F906B4">
          <w:pPr>
            <w:jc w:val="both"/>
            <w:rPr>
              <w:lang w:val="en-GB"/>
            </w:rPr>
          </w:pPr>
          <w:r w:rsidRPr="00513BF4">
            <w:rPr>
              <w:b/>
              <w:bCs/>
              <w:noProof/>
              <w:lang w:val="en-GB"/>
            </w:rPr>
            <w:fldChar w:fldCharType="end"/>
          </w:r>
        </w:p>
      </w:sdtContent>
    </w:sdt>
    <w:p w14:paraId="788AB598" w14:textId="77777777" w:rsidR="004D2F0D" w:rsidRPr="00513BF4" w:rsidRDefault="004D2F0D" w:rsidP="00F906B4">
      <w:pPr>
        <w:pStyle w:val="Heading1"/>
        <w:jc w:val="both"/>
        <w:rPr>
          <w:lang w:val="en-GB"/>
        </w:rPr>
      </w:pPr>
      <w:bookmarkStart w:id="0" w:name="_Toc46392131"/>
      <w:r w:rsidRPr="00513BF4">
        <w:rPr>
          <w:lang w:val="en-GB"/>
        </w:rPr>
        <w:lastRenderedPageBreak/>
        <w:t>Introduction</w:t>
      </w:r>
      <w:bookmarkEnd w:id="0"/>
    </w:p>
    <w:p w14:paraId="7C658559" w14:textId="0B97BFF3" w:rsidR="004D2F0D" w:rsidRPr="00513BF4" w:rsidRDefault="004D2F0D" w:rsidP="00F906B4">
      <w:pPr>
        <w:jc w:val="both"/>
        <w:rPr>
          <w:i/>
          <w:iCs/>
          <w:lang w:val="en-GB"/>
        </w:rPr>
      </w:pPr>
      <w:r w:rsidRPr="00513BF4">
        <w:rPr>
          <w:i/>
          <w:iCs/>
          <w:lang w:val="en-GB"/>
        </w:rPr>
        <w:t>Background</w:t>
      </w:r>
    </w:p>
    <w:p w14:paraId="5E0D2D43" w14:textId="5695B2CE" w:rsidR="00EE5317" w:rsidRPr="00513BF4" w:rsidRDefault="00EE5317" w:rsidP="00F906B4">
      <w:pPr>
        <w:jc w:val="both"/>
        <w:rPr>
          <w:lang w:val="en-GB"/>
        </w:rPr>
      </w:pPr>
      <w:r w:rsidRPr="00513BF4">
        <w:rPr>
          <w:lang w:val="en-GB"/>
        </w:rPr>
        <w:t>The Global Nutrition Cluster is in the process of developing a</w:t>
      </w:r>
      <w:r w:rsidR="00281504" w:rsidRPr="00513BF4">
        <w:rPr>
          <w:lang w:val="en-GB"/>
        </w:rPr>
        <w:t>n evidence and</w:t>
      </w:r>
      <w:r w:rsidRPr="00513BF4">
        <w:rPr>
          <w:lang w:val="en-GB"/>
        </w:rPr>
        <w:t xml:space="preserve"> guidance note on the use of cash and voucher assistance (CVA) for nutrition outcomes. As part of this guidance note, the operational experience and learning of humanitarian actors on this topic should be reflected and included. For this reason, the GNC plans to conduct up to three case studies. The findings of the case studies will be directly integrated into the guidance note on the use of CVA for nutrition outcomes. </w:t>
      </w:r>
    </w:p>
    <w:p w14:paraId="47F95F4E" w14:textId="12B55A8B" w:rsidR="00F9489B" w:rsidRPr="00513BF4" w:rsidRDefault="00F9489B" w:rsidP="00F906B4">
      <w:pPr>
        <w:jc w:val="both"/>
        <w:rPr>
          <w:lang w:val="en-GB"/>
        </w:rPr>
      </w:pPr>
      <w:r w:rsidRPr="00513BF4">
        <w:rPr>
          <w:lang w:val="en-GB"/>
        </w:rPr>
        <w:t xml:space="preserve">Food security and nutrition needs in Somalia remain high. </w:t>
      </w:r>
      <w:r w:rsidR="00FE4AD7" w:rsidRPr="00513BF4">
        <w:rPr>
          <w:lang w:val="en-GB"/>
        </w:rPr>
        <w:t>According to the 2019 Gu results, GAM is 13.8 per cent with some areas having GAM rates over 20 per cent (over the WHO emergency threshold of 15 per cent). It is estimated that 1.3 million boys and girls and pregnant and lactating women (1.008 million boys and girls) will suffer from acute malnutrition in 2020, with 178,000 children under 5 affected by life-threatening severe malnutrition, with 830,000 moderately malnourished and 270,000 pregnant and lactating women also requiring emergency nutrition services (</w:t>
      </w:r>
      <w:r w:rsidR="00827A2D">
        <w:rPr>
          <w:lang w:val="en-GB"/>
        </w:rPr>
        <w:t>HRP Somalia</w:t>
      </w:r>
      <w:r w:rsidR="00FE4AD7" w:rsidRPr="00513BF4">
        <w:rPr>
          <w:lang w:val="en-GB"/>
        </w:rPr>
        <w:t xml:space="preserve">, 2020) . GAM is higher than the 15 per cent emergency threshold in 10 out of 33 areas, with the majority (51.7 per cent) of malnourished children concentrated in six regions, as well as in areas hosting IDPs. The ongoing COVID-19 pandemic </w:t>
      </w:r>
      <w:r w:rsidR="00827A2D">
        <w:rPr>
          <w:lang w:val="en-GB"/>
        </w:rPr>
        <w:t xml:space="preserve">as well as flooding across regions and desert locust </w:t>
      </w:r>
      <w:r w:rsidR="00FE4AD7" w:rsidRPr="00513BF4">
        <w:rPr>
          <w:lang w:val="en-GB"/>
        </w:rPr>
        <w:t xml:space="preserve">will further </w:t>
      </w:r>
      <w:r w:rsidR="004307CF" w:rsidRPr="00513BF4">
        <w:rPr>
          <w:lang w:val="en-GB"/>
        </w:rPr>
        <w:t>aggravate</w:t>
      </w:r>
      <w:r w:rsidR="00FE4AD7" w:rsidRPr="00513BF4">
        <w:rPr>
          <w:lang w:val="en-GB"/>
        </w:rPr>
        <w:t xml:space="preserve"> malnutrition in Somalia. </w:t>
      </w:r>
      <w:r w:rsidRPr="00513BF4">
        <w:rPr>
          <w:lang w:val="en-GB"/>
        </w:rPr>
        <w:t xml:space="preserve">At the same time, lack of access to clean water in many areas has heightened the risk of outbreaks of water-borne diseases, augmenting existing vulnerabilities. </w:t>
      </w:r>
    </w:p>
    <w:p w14:paraId="3BE0AEBC" w14:textId="508D8375" w:rsidR="00FE4AD7" w:rsidRPr="00513BF4" w:rsidRDefault="00FE4AD7" w:rsidP="00F906B4">
      <w:pPr>
        <w:jc w:val="both"/>
        <w:rPr>
          <w:lang w:val="en-GB"/>
        </w:rPr>
      </w:pPr>
      <w:r w:rsidRPr="00513BF4">
        <w:rPr>
          <w:lang w:val="en-GB"/>
        </w:rPr>
        <w:t xml:space="preserve">According to the 2020 HRP, the Nutrition Cluster will focus the response on the prevention of malnutrition through the provision of specialized nutrient-dense supplementary feeding programs (BSFP and MCHN) and the promotion of optimal infant and young child feeding. Partners are providing childcare counselling for mothers, especially regarding micronutrient deficiency control for both themselves and their children. </w:t>
      </w:r>
      <w:r w:rsidR="003C053C">
        <w:rPr>
          <w:lang w:val="en-GB"/>
        </w:rPr>
        <w:t>T</w:t>
      </w:r>
      <w:r w:rsidR="003C053C" w:rsidRPr="00513BF4">
        <w:rPr>
          <w:lang w:val="en-GB"/>
        </w:rPr>
        <w:t xml:space="preserve">hrough preventive supplementary feeding programmes </w:t>
      </w:r>
      <w:r w:rsidR="003C053C">
        <w:rPr>
          <w:lang w:val="en-GB"/>
        </w:rPr>
        <w:t>t</w:t>
      </w:r>
      <w:r w:rsidRPr="00513BF4">
        <w:rPr>
          <w:lang w:val="en-GB"/>
        </w:rPr>
        <w:t xml:space="preserve">he </w:t>
      </w:r>
      <w:r w:rsidR="003C053C">
        <w:rPr>
          <w:lang w:val="en-GB"/>
        </w:rPr>
        <w:t xml:space="preserve">nutrition </w:t>
      </w:r>
      <w:r w:rsidRPr="00513BF4">
        <w:rPr>
          <w:lang w:val="en-GB"/>
        </w:rPr>
        <w:t>cluster is targeting 617,482 people</w:t>
      </w:r>
      <w:r w:rsidR="003C053C">
        <w:rPr>
          <w:lang w:val="en-GB"/>
        </w:rPr>
        <w:t>,</w:t>
      </w:r>
      <w:r w:rsidRPr="00513BF4">
        <w:rPr>
          <w:lang w:val="en-GB"/>
        </w:rPr>
        <w:t xml:space="preserve"> 334,911 children under two and 282,571 PLWs are planned to be reached in areas with GAM rate higher than 15 per cent</w:t>
      </w:r>
      <w:r w:rsidR="003C053C">
        <w:rPr>
          <w:lang w:val="en-GB"/>
        </w:rPr>
        <w:t xml:space="preserve"> accounting for 58 out of 74 districts</w:t>
      </w:r>
      <w:r w:rsidRPr="00513BF4">
        <w:rPr>
          <w:lang w:val="en-GB"/>
        </w:rPr>
        <w:t xml:space="preserve">. </w:t>
      </w:r>
    </w:p>
    <w:p w14:paraId="40B669B6" w14:textId="6CCED8F0" w:rsidR="00E14A5D" w:rsidRPr="00513BF4" w:rsidRDefault="00EE5317" w:rsidP="00F906B4">
      <w:pPr>
        <w:jc w:val="both"/>
        <w:rPr>
          <w:lang w:val="en-GB"/>
        </w:rPr>
      </w:pPr>
      <w:r w:rsidRPr="00513BF4">
        <w:rPr>
          <w:lang w:val="en-GB"/>
        </w:rPr>
        <w:t xml:space="preserve">The Nutrition Cluster Coordination Team and partners in </w:t>
      </w:r>
      <w:r w:rsidR="00355FB8" w:rsidRPr="00513BF4">
        <w:rPr>
          <w:lang w:val="en-GB"/>
        </w:rPr>
        <w:t>Somalia</w:t>
      </w:r>
      <w:r w:rsidRPr="00513BF4">
        <w:rPr>
          <w:lang w:val="en-GB"/>
        </w:rPr>
        <w:t xml:space="preserve"> has expressed interest to accommodate one of the case studies on the use of CVA for nutrition outcomes</w:t>
      </w:r>
      <w:r w:rsidR="00016825" w:rsidRPr="00513BF4">
        <w:rPr>
          <w:rStyle w:val="FootnoteReference"/>
          <w:lang w:val="en-GB"/>
        </w:rPr>
        <w:footnoteReference w:id="1"/>
      </w:r>
      <w:r w:rsidRPr="00513BF4">
        <w:rPr>
          <w:lang w:val="en-GB"/>
        </w:rPr>
        <w:t>.</w:t>
      </w:r>
      <w:r w:rsidR="00E14A5D" w:rsidRPr="00513BF4">
        <w:rPr>
          <w:lang w:val="en-GB"/>
        </w:rPr>
        <w:t xml:space="preserve"> There is a strong interest to better explore the potential of CVA modalities in preventative and curative strategies in the context of </w:t>
      </w:r>
      <w:r w:rsidR="008175EC" w:rsidRPr="00513BF4">
        <w:rPr>
          <w:lang w:val="en-GB"/>
        </w:rPr>
        <w:t>Somalia</w:t>
      </w:r>
      <w:r w:rsidR="00E14A5D" w:rsidRPr="00513BF4">
        <w:rPr>
          <w:lang w:val="en-GB"/>
        </w:rPr>
        <w:t>.</w:t>
      </w:r>
    </w:p>
    <w:p w14:paraId="68E2A19A" w14:textId="77777777" w:rsidR="00016825" w:rsidRPr="00513BF4" w:rsidRDefault="00016825" w:rsidP="00F906B4">
      <w:pPr>
        <w:jc w:val="both"/>
        <w:rPr>
          <w:lang w:val="en-GB"/>
        </w:rPr>
      </w:pPr>
    </w:p>
    <w:p w14:paraId="3606C866" w14:textId="1118362A" w:rsidR="00A577A9" w:rsidRPr="00513BF4" w:rsidRDefault="00A577A9" w:rsidP="00F906B4">
      <w:pPr>
        <w:jc w:val="both"/>
        <w:rPr>
          <w:lang w:val="en-GB"/>
        </w:rPr>
      </w:pPr>
      <w:r w:rsidRPr="00513BF4">
        <w:rPr>
          <w:lang w:val="en-GB"/>
        </w:rPr>
        <w:t xml:space="preserve">The </w:t>
      </w:r>
      <w:r w:rsidRPr="00513BF4">
        <w:rPr>
          <w:i/>
          <w:iCs/>
          <w:lang w:val="en-GB"/>
        </w:rPr>
        <w:t>objectives</w:t>
      </w:r>
      <w:r w:rsidRPr="00513BF4">
        <w:rPr>
          <w:lang w:val="en-GB"/>
        </w:rPr>
        <w:t xml:space="preserve"> of the case study include the following: </w:t>
      </w:r>
    </w:p>
    <w:p w14:paraId="71F6480E" w14:textId="77777777" w:rsidR="007D53A1" w:rsidRPr="00513BF4" w:rsidRDefault="007D53A1" w:rsidP="00F906B4">
      <w:pPr>
        <w:pStyle w:val="ListParagraph"/>
        <w:numPr>
          <w:ilvl w:val="0"/>
          <w:numId w:val="1"/>
        </w:numPr>
        <w:jc w:val="both"/>
        <w:rPr>
          <w:lang w:val="en-GB"/>
        </w:rPr>
      </w:pPr>
      <w:r w:rsidRPr="00513BF4">
        <w:rPr>
          <w:lang w:val="en-GB"/>
        </w:rPr>
        <w:t xml:space="preserve">Review existing and planned nutrition interventions which have a CVA component, including response analysis / decision-making, objectives, design, risk management, MEAL, etc. </w:t>
      </w:r>
    </w:p>
    <w:p w14:paraId="10372977" w14:textId="77777777" w:rsidR="007D53A1" w:rsidRPr="00513BF4" w:rsidRDefault="007D53A1" w:rsidP="00F906B4">
      <w:pPr>
        <w:pStyle w:val="ListParagraph"/>
        <w:numPr>
          <w:ilvl w:val="0"/>
          <w:numId w:val="1"/>
        </w:numPr>
        <w:jc w:val="both"/>
        <w:rPr>
          <w:lang w:val="en-GB"/>
        </w:rPr>
      </w:pPr>
      <w:r w:rsidRPr="00513BF4">
        <w:rPr>
          <w:lang w:val="en-GB"/>
        </w:rPr>
        <w:t>Review tools used as part of these interventions</w:t>
      </w:r>
    </w:p>
    <w:p w14:paraId="2F3E6EC2" w14:textId="77777777" w:rsidR="007D53A1" w:rsidRPr="00513BF4" w:rsidRDefault="007D53A1" w:rsidP="00F906B4">
      <w:pPr>
        <w:pStyle w:val="ListParagraph"/>
        <w:numPr>
          <w:ilvl w:val="0"/>
          <w:numId w:val="1"/>
        </w:numPr>
        <w:jc w:val="both"/>
        <w:rPr>
          <w:lang w:val="en-GB"/>
        </w:rPr>
      </w:pPr>
      <w:r w:rsidRPr="00513BF4">
        <w:rPr>
          <w:lang w:val="en-GB"/>
        </w:rPr>
        <w:t>Review the nutrition-sensitivity of the MEB and existing multi-purpose cash interventions</w:t>
      </w:r>
    </w:p>
    <w:p w14:paraId="092BC89E" w14:textId="77777777" w:rsidR="007D53A1" w:rsidRPr="00513BF4" w:rsidRDefault="007D53A1" w:rsidP="00F906B4">
      <w:pPr>
        <w:pStyle w:val="ListParagraph"/>
        <w:numPr>
          <w:ilvl w:val="0"/>
          <w:numId w:val="1"/>
        </w:numPr>
        <w:jc w:val="both"/>
        <w:rPr>
          <w:lang w:val="en-GB"/>
        </w:rPr>
      </w:pPr>
      <w:r w:rsidRPr="00513BF4">
        <w:rPr>
          <w:lang w:val="en-GB"/>
        </w:rPr>
        <w:t>Document how CVA is being integrated into nutrition responses</w:t>
      </w:r>
    </w:p>
    <w:p w14:paraId="6FBC1B74" w14:textId="77777777" w:rsidR="007D53A1" w:rsidRPr="00513BF4" w:rsidRDefault="007D53A1" w:rsidP="00F906B4">
      <w:pPr>
        <w:pStyle w:val="ListParagraph"/>
        <w:numPr>
          <w:ilvl w:val="0"/>
          <w:numId w:val="1"/>
        </w:numPr>
        <w:jc w:val="both"/>
        <w:rPr>
          <w:lang w:val="en-GB"/>
        </w:rPr>
      </w:pPr>
      <w:r w:rsidRPr="00513BF4">
        <w:rPr>
          <w:lang w:val="en-GB"/>
        </w:rPr>
        <w:t>Document and review the role of the Nutrition Cluster Coordination team in CVA</w:t>
      </w:r>
    </w:p>
    <w:p w14:paraId="1E762AFA" w14:textId="77777777" w:rsidR="007D53A1" w:rsidRPr="00513BF4" w:rsidRDefault="007D53A1" w:rsidP="00F906B4">
      <w:pPr>
        <w:pStyle w:val="ListParagraph"/>
        <w:numPr>
          <w:ilvl w:val="0"/>
          <w:numId w:val="1"/>
        </w:numPr>
        <w:jc w:val="both"/>
        <w:rPr>
          <w:lang w:val="en-GB"/>
        </w:rPr>
      </w:pPr>
      <w:r w:rsidRPr="00513BF4">
        <w:rPr>
          <w:lang w:val="en-GB"/>
        </w:rPr>
        <w:lastRenderedPageBreak/>
        <w:t>If possible, identify opportunities to improve and/or expand the use of CVA for nutrition outcomes</w:t>
      </w:r>
    </w:p>
    <w:p w14:paraId="365B79C9" w14:textId="77777777" w:rsidR="007D53A1" w:rsidRPr="00513BF4" w:rsidRDefault="007D53A1" w:rsidP="00F906B4">
      <w:pPr>
        <w:pStyle w:val="ListParagraph"/>
        <w:numPr>
          <w:ilvl w:val="0"/>
          <w:numId w:val="1"/>
        </w:numPr>
        <w:jc w:val="both"/>
        <w:rPr>
          <w:lang w:val="en-GB"/>
        </w:rPr>
      </w:pPr>
      <w:r w:rsidRPr="00513BF4">
        <w:rPr>
          <w:lang w:val="en-GB"/>
        </w:rPr>
        <w:t>Facilitate exchange of experiences between partners</w:t>
      </w:r>
    </w:p>
    <w:p w14:paraId="6E5BDA00" w14:textId="77777777" w:rsidR="007D53A1" w:rsidRPr="00513BF4" w:rsidRDefault="007D53A1" w:rsidP="00F906B4">
      <w:pPr>
        <w:pStyle w:val="ListParagraph"/>
        <w:numPr>
          <w:ilvl w:val="0"/>
          <w:numId w:val="1"/>
        </w:numPr>
        <w:jc w:val="both"/>
        <w:rPr>
          <w:lang w:val="en-GB"/>
        </w:rPr>
      </w:pPr>
      <w:r w:rsidRPr="00513BF4">
        <w:rPr>
          <w:lang w:val="en-GB"/>
        </w:rPr>
        <w:t>Generate lessons learned and best practice</w:t>
      </w:r>
    </w:p>
    <w:p w14:paraId="6143818E" w14:textId="77777777" w:rsidR="00281504" w:rsidRPr="00513BF4" w:rsidRDefault="00281504" w:rsidP="00F906B4">
      <w:pPr>
        <w:jc w:val="both"/>
        <w:rPr>
          <w:i/>
          <w:iCs/>
          <w:lang w:val="en-GB"/>
        </w:rPr>
      </w:pPr>
    </w:p>
    <w:p w14:paraId="10C4F6A5" w14:textId="14FA4C08" w:rsidR="004D2F0D" w:rsidRPr="00513BF4" w:rsidRDefault="004D2F0D" w:rsidP="00F906B4">
      <w:pPr>
        <w:jc w:val="both"/>
        <w:rPr>
          <w:i/>
          <w:iCs/>
          <w:lang w:val="en-GB"/>
        </w:rPr>
      </w:pPr>
      <w:r w:rsidRPr="00513BF4">
        <w:rPr>
          <w:i/>
          <w:iCs/>
          <w:lang w:val="en-GB"/>
        </w:rPr>
        <w:t>Methodology</w:t>
      </w:r>
    </w:p>
    <w:p w14:paraId="582E0B0A" w14:textId="22FA140C" w:rsidR="00281504" w:rsidRPr="00513BF4" w:rsidRDefault="0005181B" w:rsidP="00F906B4">
      <w:pPr>
        <w:jc w:val="both"/>
        <w:rPr>
          <w:lang w:val="en-GB"/>
        </w:rPr>
      </w:pPr>
      <w:r w:rsidRPr="00513BF4">
        <w:rPr>
          <w:lang w:val="en-GB"/>
        </w:rPr>
        <w:t xml:space="preserve">The case study is based on </w:t>
      </w:r>
      <w:r w:rsidR="00601843" w:rsidRPr="00513BF4">
        <w:rPr>
          <w:lang w:val="en-GB"/>
        </w:rPr>
        <w:t xml:space="preserve">key informant interviews with partners (Nutrition Cluster, UNICEF, WFP, FAO, ICRC, </w:t>
      </w:r>
      <w:proofErr w:type="spellStart"/>
      <w:r w:rsidR="00601843" w:rsidRPr="00513BF4">
        <w:rPr>
          <w:lang w:val="en-GB"/>
        </w:rPr>
        <w:t>BRCiS</w:t>
      </w:r>
      <w:proofErr w:type="spellEnd"/>
      <w:r w:rsidR="00601843" w:rsidRPr="00513BF4">
        <w:rPr>
          <w:lang w:val="en-GB"/>
        </w:rPr>
        <w:t xml:space="preserve">, WVI) and a desk-based project documentation review. </w:t>
      </w:r>
      <w:r w:rsidR="00281504" w:rsidRPr="00513BF4">
        <w:rPr>
          <w:lang w:val="en-GB"/>
        </w:rPr>
        <w:t xml:space="preserve">The GNC cash advisor was meant to visit </w:t>
      </w:r>
      <w:r w:rsidR="00B11290" w:rsidRPr="00513BF4">
        <w:rPr>
          <w:lang w:val="en-GB"/>
        </w:rPr>
        <w:t>Somalia/Kenya</w:t>
      </w:r>
      <w:r w:rsidR="00281504" w:rsidRPr="00513BF4">
        <w:rPr>
          <w:lang w:val="en-GB"/>
        </w:rPr>
        <w:t xml:space="preserve">, in </w:t>
      </w:r>
      <w:r w:rsidR="00B11290" w:rsidRPr="00513BF4">
        <w:rPr>
          <w:lang w:val="en-GB"/>
        </w:rPr>
        <w:t>April</w:t>
      </w:r>
      <w:r w:rsidR="00281504" w:rsidRPr="00513BF4">
        <w:rPr>
          <w:lang w:val="en-GB"/>
        </w:rPr>
        <w:t xml:space="preserve"> to conduct interviews with partners, review project</w:t>
      </w:r>
      <w:r w:rsidR="00601843" w:rsidRPr="00513BF4">
        <w:rPr>
          <w:lang w:val="en-GB"/>
        </w:rPr>
        <w:t>s</w:t>
      </w:r>
      <w:r w:rsidR="00281504" w:rsidRPr="00513BF4">
        <w:rPr>
          <w:lang w:val="en-GB"/>
        </w:rPr>
        <w:t xml:space="preserve"> and facilitate a learning workshop. Unfortunately, the visit had to be cancelled due to travel restrictions related to the ongoing pandemic. Consequently, key informant interviews with key partners were conducted remotely. </w:t>
      </w:r>
    </w:p>
    <w:p w14:paraId="6F36C0ED" w14:textId="46AB61AB" w:rsidR="004D2F0D" w:rsidRPr="00513BF4" w:rsidRDefault="00281504" w:rsidP="00F906B4">
      <w:pPr>
        <w:jc w:val="both"/>
        <w:rPr>
          <w:lang w:val="en-GB"/>
        </w:rPr>
      </w:pPr>
      <w:r w:rsidRPr="00513BF4">
        <w:rPr>
          <w:lang w:val="en-GB"/>
        </w:rPr>
        <w:t xml:space="preserve">Table 1 provides an overview on ‘nutrition </w:t>
      </w:r>
      <w:r w:rsidR="00E91AED" w:rsidRPr="00513BF4">
        <w:rPr>
          <w:lang w:val="en-GB"/>
        </w:rPr>
        <w:t>projects’</w:t>
      </w:r>
      <w:r w:rsidRPr="00513BF4">
        <w:rPr>
          <w:lang w:val="en-GB"/>
        </w:rPr>
        <w:t xml:space="preserve"> with a CVA component </w:t>
      </w:r>
      <w:r w:rsidR="00601843" w:rsidRPr="00513BF4">
        <w:rPr>
          <w:lang w:val="en-GB"/>
        </w:rPr>
        <w:t xml:space="preserve">that were </w:t>
      </w:r>
      <w:r w:rsidRPr="00513BF4">
        <w:rPr>
          <w:lang w:val="en-GB"/>
        </w:rPr>
        <w:t>reviewed as part of this case study.</w:t>
      </w:r>
    </w:p>
    <w:tbl>
      <w:tblPr>
        <w:tblStyle w:val="TableGrid"/>
        <w:tblW w:w="0" w:type="auto"/>
        <w:tblLook w:val="04A0" w:firstRow="1" w:lastRow="0" w:firstColumn="1" w:lastColumn="0" w:noHBand="0" w:noVBand="1"/>
      </w:tblPr>
      <w:tblGrid>
        <w:gridCol w:w="1260"/>
        <w:gridCol w:w="1255"/>
        <w:gridCol w:w="1350"/>
        <w:gridCol w:w="2970"/>
        <w:gridCol w:w="2515"/>
      </w:tblGrid>
      <w:tr w:rsidR="00E91AED" w:rsidRPr="00513BF4" w14:paraId="110D9750" w14:textId="77777777" w:rsidTr="00CF3A25">
        <w:tc>
          <w:tcPr>
            <w:tcW w:w="1260" w:type="dxa"/>
          </w:tcPr>
          <w:p w14:paraId="6AD7A787" w14:textId="77777777" w:rsidR="00E91AED" w:rsidRPr="00513BF4" w:rsidRDefault="00E91AED" w:rsidP="00F906B4">
            <w:pPr>
              <w:jc w:val="both"/>
              <w:rPr>
                <w:b/>
                <w:bCs/>
                <w:sz w:val="20"/>
                <w:szCs w:val="20"/>
                <w:lang w:val="en-GB"/>
              </w:rPr>
            </w:pPr>
            <w:r w:rsidRPr="00513BF4">
              <w:rPr>
                <w:b/>
                <w:bCs/>
                <w:sz w:val="20"/>
                <w:szCs w:val="20"/>
                <w:lang w:val="en-GB"/>
              </w:rPr>
              <w:t>Org.</w:t>
            </w:r>
          </w:p>
        </w:tc>
        <w:tc>
          <w:tcPr>
            <w:tcW w:w="1255" w:type="dxa"/>
          </w:tcPr>
          <w:p w14:paraId="6E42D59C" w14:textId="77777777" w:rsidR="00E91AED" w:rsidRPr="00513BF4" w:rsidRDefault="00E91AED" w:rsidP="00F906B4">
            <w:pPr>
              <w:jc w:val="both"/>
              <w:rPr>
                <w:b/>
                <w:bCs/>
                <w:sz w:val="20"/>
                <w:szCs w:val="20"/>
                <w:lang w:val="en-GB"/>
              </w:rPr>
            </w:pPr>
            <w:r w:rsidRPr="00513BF4">
              <w:rPr>
                <w:b/>
                <w:bCs/>
                <w:sz w:val="20"/>
                <w:szCs w:val="20"/>
                <w:lang w:val="en-GB"/>
              </w:rPr>
              <w:t>Duration</w:t>
            </w:r>
          </w:p>
        </w:tc>
        <w:tc>
          <w:tcPr>
            <w:tcW w:w="1350" w:type="dxa"/>
          </w:tcPr>
          <w:p w14:paraId="1509AD59" w14:textId="77777777" w:rsidR="00E91AED" w:rsidRPr="00513BF4" w:rsidRDefault="00E91AED" w:rsidP="00F906B4">
            <w:pPr>
              <w:jc w:val="both"/>
              <w:rPr>
                <w:b/>
                <w:bCs/>
                <w:sz w:val="20"/>
                <w:szCs w:val="20"/>
                <w:lang w:val="en-GB"/>
              </w:rPr>
            </w:pPr>
            <w:r w:rsidRPr="00513BF4">
              <w:rPr>
                <w:b/>
                <w:bCs/>
                <w:sz w:val="20"/>
                <w:szCs w:val="20"/>
                <w:lang w:val="en-GB"/>
              </w:rPr>
              <w:t>Location</w:t>
            </w:r>
          </w:p>
        </w:tc>
        <w:tc>
          <w:tcPr>
            <w:tcW w:w="2970" w:type="dxa"/>
          </w:tcPr>
          <w:p w14:paraId="2F4BE38F" w14:textId="77777777" w:rsidR="00E91AED" w:rsidRPr="00513BF4" w:rsidRDefault="00E91AED" w:rsidP="00F906B4">
            <w:pPr>
              <w:jc w:val="both"/>
              <w:rPr>
                <w:b/>
                <w:bCs/>
                <w:sz w:val="20"/>
                <w:szCs w:val="20"/>
                <w:lang w:val="en-GB"/>
              </w:rPr>
            </w:pPr>
            <w:r w:rsidRPr="00513BF4">
              <w:rPr>
                <w:b/>
                <w:bCs/>
                <w:sz w:val="20"/>
                <w:szCs w:val="20"/>
                <w:lang w:val="en-GB"/>
              </w:rPr>
              <w:t>Project</w:t>
            </w:r>
          </w:p>
        </w:tc>
        <w:tc>
          <w:tcPr>
            <w:tcW w:w="2515" w:type="dxa"/>
          </w:tcPr>
          <w:p w14:paraId="0D65AF95" w14:textId="77777777" w:rsidR="00E91AED" w:rsidRPr="00513BF4" w:rsidRDefault="00E91AED" w:rsidP="00F906B4">
            <w:pPr>
              <w:jc w:val="both"/>
              <w:rPr>
                <w:b/>
                <w:bCs/>
                <w:sz w:val="20"/>
                <w:szCs w:val="20"/>
                <w:lang w:val="en-GB"/>
              </w:rPr>
            </w:pPr>
            <w:r w:rsidRPr="00513BF4">
              <w:rPr>
                <w:b/>
                <w:bCs/>
                <w:sz w:val="20"/>
                <w:szCs w:val="20"/>
                <w:lang w:val="en-GB"/>
              </w:rPr>
              <w:t>Documents reviewed</w:t>
            </w:r>
          </w:p>
        </w:tc>
      </w:tr>
      <w:tr w:rsidR="00AD4520" w:rsidRPr="00513BF4" w14:paraId="41C636B5" w14:textId="77777777" w:rsidTr="00CF3A25">
        <w:tc>
          <w:tcPr>
            <w:tcW w:w="1260" w:type="dxa"/>
          </w:tcPr>
          <w:p w14:paraId="59AD74DD" w14:textId="77777777" w:rsidR="00AD4520" w:rsidRPr="00513BF4" w:rsidRDefault="00AD4520" w:rsidP="00F906B4">
            <w:pPr>
              <w:jc w:val="both"/>
              <w:rPr>
                <w:sz w:val="20"/>
                <w:szCs w:val="20"/>
                <w:lang w:val="en-GB"/>
              </w:rPr>
            </w:pPr>
            <w:proofErr w:type="spellStart"/>
            <w:r w:rsidRPr="00513BF4">
              <w:rPr>
                <w:sz w:val="20"/>
                <w:szCs w:val="20"/>
                <w:lang w:val="en-GB"/>
              </w:rPr>
              <w:t>BRCiS</w:t>
            </w:r>
            <w:proofErr w:type="spellEnd"/>
            <w:r w:rsidRPr="00513BF4">
              <w:rPr>
                <w:sz w:val="20"/>
                <w:szCs w:val="20"/>
                <w:lang w:val="en-GB"/>
              </w:rPr>
              <w:t xml:space="preserve"> consortium</w:t>
            </w:r>
          </w:p>
        </w:tc>
        <w:tc>
          <w:tcPr>
            <w:tcW w:w="1255" w:type="dxa"/>
          </w:tcPr>
          <w:p w14:paraId="6E6936B9" w14:textId="77777777" w:rsidR="00AD4520" w:rsidRPr="00513BF4" w:rsidRDefault="00AD4520" w:rsidP="00F906B4">
            <w:pPr>
              <w:jc w:val="both"/>
              <w:rPr>
                <w:sz w:val="20"/>
                <w:szCs w:val="20"/>
                <w:lang w:val="en-GB"/>
              </w:rPr>
            </w:pPr>
            <w:r w:rsidRPr="00513BF4">
              <w:rPr>
                <w:sz w:val="20"/>
                <w:szCs w:val="20"/>
                <w:lang w:val="en-GB"/>
              </w:rPr>
              <w:t>2019-2021</w:t>
            </w:r>
          </w:p>
        </w:tc>
        <w:tc>
          <w:tcPr>
            <w:tcW w:w="1350" w:type="dxa"/>
          </w:tcPr>
          <w:p w14:paraId="55653B63" w14:textId="77777777" w:rsidR="00AD4520" w:rsidRPr="00513BF4" w:rsidRDefault="00AD4520" w:rsidP="00F906B4">
            <w:pPr>
              <w:jc w:val="both"/>
              <w:rPr>
                <w:sz w:val="20"/>
                <w:szCs w:val="20"/>
                <w:lang w:val="en-GB"/>
              </w:rPr>
            </w:pPr>
            <w:r w:rsidRPr="00513BF4">
              <w:rPr>
                <w:sz w:val="20"/>
                <w:szCs w:val="20"/>
                <w:lang w:val="en-GB"/>
              </w:rPr>
              <w:t>16 districts</w:t>
            </w:r>
          </w:p>
        </w:tc>
        <w:tc>
          <w:tcPr>
            <w:tcW w:w="2970" w:type="dxa"/>
          </w:tcPr>
          <w:p w14:paraId="27A41943" w14:textId="3F46F3DE" w:rsidR="00AD4520" w:rsidRPr="00513BF4" w:rsidRDefault="00AD4520" w:rsidP="00F906B4">
            <w:pPr>
              <w:jc w:val="both"/>
              <w:rPr>
                <w:sz w:val="20"/>
                <w:szCs w:val="20"/>
                <w:lang w:val="en-GB"/>
              </w:rPr>
            </w:pPr>
            <w:r w:rsidRPr="00513BF4">
              <w:rPr>
                <w:sz w:val="20"/>
                <w:szCs w:val="20"/>
                <w:lang w:val="en-GB"/>
              </w:rPr>
              <w:t>Shock-responsive safety net pilot,</w:t>
            </w:r>
          </w:p>
        </w:tc>
        <w:tc>
          <w:tcPr>
            <w:tcW w:w="2515" w:type="dxa"/>
          </w:tcPr>
          <w:p w14:paraId="5D69E014" w14:textId="77777777" w:rsidR="00AD4520" w:rsidRPr="00513BF4" w:rsidRDefault="00AD4520" w:rsidP="00F906B4">
            <w:pPr>
              <w:jc w:val="both"/>
              <w:rPr>
                <w:sz w:val="20"/>
                <w:szCs w:val="20"/>
                <w:lang w:val="en-GB"/>
              </w:rPr>
            </w:pPr>
            <w:r w:rsidRPr="00513BF4">
              <w:rPr>
                <w:sz w:val="20"/>
                <w:szCs w:val="20"/>
                <w:lang w:val="en-GB"/>
              </w:rPr>
              <w:t>Concept note, Minimum package for health and nutrition, nutrition lens guide</w:t>
            </w:r>
          </w:p>
        </w:tc>
      </w:tr>
      <w:tr w:rsidR="00AD4520" w:rsidRPr="00513BF4" w14:paraId="1AC6AED8" w14:textId="77777777" w:rsidTr="00CF3A25">
        <w:tc>
          <w:tcPr>
            <w:tcW w:w="1260" w:type="dxa"/>
          </w:tcPr>
          <w:p w14:paraId="70004B52" w14:textId="77777777" w:rsidR="00AD4520" w:rsidRPr="00513BF4" w:rsidRDefault="00AD4520" w:rsidP="00F906B4">
            <w:pPr>
              <w:jc w:val="both"/>
              <w:rPr>
                <w:sz w:val="20"/>
                <w:szCs w:val="20"/>
                <w:lang w:val="en-GB"/>
              </w:rPr>
            </w:pPr>
            <w:r w:rsidRPr="00513BF4">
              <w:rPr>
                <w:sz w:val="20"/>
                <w:szCs w:val="20"/>
                <w:lang w:val="en-GB"/>
              </w:rPr>
              <w:t>FAO</w:t>
            </w:r>
          </w:p>
        </w:tc>
        <w:tc>
          <w:tcPr>
            <w:tcW w:w="1255" w:type="dxa"/>
          </w:tcPr>
          <w:p w14:paraId="565669D2" w14:textId="77777777" w:rsidR="00AD4520" w:rsidRPr="00513BF4" w:rsidRDefault="00AD4520" w:rsidP="00F906B4">
            <w:pPr>
              <w:jc w:val="both"/>
              <w:rPr>
                <w:sz w:val="20"/>
                <w:szCs w:val="20"/>
                <w:lang w:val="en-GB"/>
              </w:rPr>
            </w:pPr>
            <w:r w:rsidRPr="00513BF4">
              <w:rPr>
                <w:sz w:val="20"/>
                <w:szCs w:val="20"/>
                <w:lang w:val="en-GB"/>
              </w:rPr>
              <w:t>2019-2020</w:t>
            </w:r>
          </w:p>
        </w:tc>
        <w:tc>
          <w:tcPr>
            <w:tcW w:w="1350" w:type="dxa"/>
          </w:tcPr>
          <w:p w14:paraId="4C267FD2" w14:textId="41657B3D" w:rsidR="00AD4520" w:rsidRPr="00513BF4" w:rsidRDefault="003C053C" w:rsidP="00F906B4">
            <w:pPr>
              <w:jc w:val="both"/>
              <w:rPr>
                <w:sz w:val="20"/>
                <w:szCs w:val="20"/>
                <w:lang w:val="en-GB"/>
              </w:rPr>
            </w:pPr>
            <w:r>
              <w:rPr>
                <w:sz w:val="20"/>
                <w:szCs w:val="20"/>
                <w:lang w:val="en-GB"/>
              </w:rPr>
              <w:t>Several regions</w:t>
            </w:r>
          </w:p>
        </w:tc>
        <w:tc>
          <w:tcPr>
            <w:tcW w:w="2970" w:type="dxa"/>
          </w:tcPr>
          <w:p w14:paraId="7C026FA8" w14:textId="77777777" w:rsidR="00AD4520" w:rsidRPr="00513BF4" w:rsidRDefault="00AD4520" w:rsidP="00F906B4">
            <w:pPr>
              <w:jc w:val="both"/>
              <w:rPr>
                <w:sz w:val="20"/>
                <w:szCs w:val="20"/>
                <w:lang w:val="en-GB"/>
              </w:rPr>
            </w:pPr>
            <w:r w:rsidRPr="00513BF4">
              <w:rPr>
                <w:sz w:val="20"/>
                <w:szCs w:val="20"/>
                <w:lang w:val="en-GB"/>
              </w:rPr>
              <w:t>Improving and sustaining food security in rural Somalia</w:t>
            </w:r>
          </w:p>
        </w:tc>
        <w:tc>
          <w:tcPr>
            <w:tcW w:w="2515" w:type="dxa"/>
          </w:tcPr>
          <w:p w14:paraId="04826E1B" w14:textId="77777777" w:rsidR="00AD4520" w:rsidRPr="00513BF4" w:rsidRDefault="00AD4520" w:rsidP="00F906B4">
            <w:pPr>
              <w:jc w:val="both"/>
              <w:rPr>
                <w:sz w:val="20"/>
                <w:szCs w:val="20"/>
                <w:lang w:val="en-GB"/>
              </w:rPr>
            </w:pPr>
            <w:r w:rsidRPr="00513BF4">
              <w:rPr>
                <w:sz w:val="20"/>
                <w:szCs w:val="20"/>
                <w:lang w:val="en-GB"/>
              </w:rPr>
              <w:t>FFP project proposal</w:t>
            </w:r>
          </w:p>
        </w:tc>
      </w:tr>
      <w:tr w:rsidR="00E91AED" w:rsidRPr="00513BF4" w14:paraId="411518CC" w14:textId="77777777" w:rsidTr="00CF3A25">
        <w:tc>
          <w:tcPr>
            <w:tcW w:w="1260" w:type="dxa"/>
          </w:tcPr>
          <w:p w14:paraId="1AD86266" w14:textId="77777777" w:rsidR="00E91AED" w:rsidRPr="00513BF4" w:rsidRDefault="00E91AED" w:rsidP="00F906B4">
            <w:pPr>
              <w:jc w:val="both"/>
              <w:rPr>
                <w:sz w:val="20"/>
                <w:szCs w:val="20"/>
                <w:lang w:val="en-GB"/>
              </w:rPr>
            </w:pPr>
            <w:r w:rsidRPr="00513BF4">
              <w:rPr>
                <w:sz w:val="20"/>
                <w:szCs w:val="20"/>
                <w:lang w:val="en-GB"/>
              </w:rPr>
              <w:t>ICRC</w:t>
            </w:r>
          </w:p>
        </w:tc>
        <w:tc>
          <w:tcPr>
            <w:tcW w:w="1255" w:type="dxa"/>
          </w:tcPr>
          <w:p w14:paraId="7A439900" w14:textId="30342C7B" w:rsidR="00E91AED" w:rsidRPr="00513BF4" w:rsidRDefault="00200D0E" w:rsidP="00F906B4">
            <w:pPr>
              <w:jc w:val="both"/>
              <w:rPr>
                <w:sz w:val="20"/>
                <w:szCs w:val="20"/>
                <w:lang w:val="en-GB"/>
              </w:rPr>
            </w:pPr>
            <w:r w:rsidRPr="00513BF4">
              <w:rPr>
                <w:sz w:val="20"/>
                <w:szCs w:val="20"/>
                <w:lang w:val="en-GB"/>
              </w:rPr>
              <w:t>2015-2018</w:t>
            </w:r>
          </w:p>
        </w:tc>
        <w:tc>
          <w:tcPr>
            <w:tcW w:w="1350" w:type="dxa"/>
          </w:tcPr>
          <w:p w14:paraId="0E518CD0" w14:textId="77777777" w:rsidR="00E91AED" w:rsidRPr="00513BF4" w:rsidRDefault="00E91AED" w:rsidP="00F906B4">
            <w:pPr>
              <w:jc w:val="both"/>
              <w:rPr>
                <w:i/>
                <w:iCs/>
                <w:sz w:val="20"/>
                <w:szCs w:val="20"/>
                <w:lang w:val="en-GB"/>
              </w:rPr>
            </w:pPr>
            <w:proofErr w:type="spellStart"/>
            <w:r w:rsidRPr="00513BF4">
              <w:rPr>
                <w:sz w:val="20"/>
                <w:szCs w:val="20"/>
                <w:lang w:val="en-GB"/>
              </w:rPr>
              <w:t>Baidao</w:t>
            </w:r>
            <w:proofErr w:type="spellEnd"/>
            <w:r w:rsidRPr="00513BF4">
              <w:rPr>
                <w:sz w:val="20"/>
                <w:szCs w:val="20"/>
                <w:lang w:val="en-GB"/>
              </w:rPr>
              <w:t xml:space="preserve"> and Kismayo</w:t>
            </w:r>
          </w:p>
        </w:tc>
        <w:tc>
          <w:tcPr>
            <w:tcW w:w="2970" w:type="dxa"/>
          </w:tcPr>
          <w:p w14:paraId="6993CC1F" w14:textId="77777777" w:rsidR="00E91AED" w:rsidRPr="00513BF4" w:rsidRDefault="00E91AED" w:rsidP="00F906B4">
            <w:pPr>
              <w:jc w:val="both"/>
              <w:rPr>
                <w:sz w:val="20"/>
                <w:szCs w:val="20"/>
                <w:lang w:val="en-GB"/>
              </w:rPr>
            </w:pPr>
            <w:r w:rsidRPr="00513BF4">
              <w:rPr>
                <w:sz w:val="20"/>
                <w:szCs w:val="20"/>
                <w:lang w:val="en-GB"/>
              </w:rPr>
              <w:t>Cash transfers to caregivers of SAM children</w:t>
            </w:r>
          </w:p>
        </w:tc>
        <w:tc>
          <w:tcPr>
            <w:tcW w:w="2515" w:type="dxa"/>
          </w:tcPr>
          <w:p w14:paraId="660AA2D1" w14:textId="77777777" w:rsidR="00E91AED" w:rsidRPr="00513BF4" w:rsidRDefault="00E91AED" w:rsidP="00F906B4">
            <w:pPr>
              <w:jc w:val="both"/>
              <w:rPr>
                <w:sz w:val="20"/>
                <w:szCs w:val="20"/>
                <w:lang w:val="en-GB"/>
              </w:rPr>
            </w:pPr>
            <w:r w:rsidRPr="00513BF4">
              <w:rPr>
                <w:sz w:val="20"/>
                <w:szCs w:val="20"/>
                <w:lang w:val="en-GB"/>
              </w:rPr>
              <w:t xml:space="preserve">Study design </w:t>
            </w:r>
          </w:p>
        </w:tc>
      </w:tr>
      <w:tr w:rsidR="00E91AED" w:rsidRPr="00513BF4" w14:paraId="45875366" w14:textId="77777777" w:rsidTr="00CF3A25">
        <w:tc>
          <w:tcPr>
            <w:tcW w:w="1260" w:type="dxa"/>
          </w:tcPr>
          <w:p w14:paraId="61652106" w14:textId="77777777" w:rsidR="00E91AED" w:rsidRPr="00513BF4" w:rsidRDefault="00E91AED" w:rsidP="00F906B4">
            <w:pPr>
              <w:jc w:val="both"/>
              <w:rPr>
                <w:sz w:val="20"/>
                <w:szCs w:val="20"/>
                <w:lang w:val="en-GB"/>
              </w:rPr>
            </w:pPr>
            <w:r w:rsidRPr="00513BF4">
              <w:rPr>
                <w:sz w:val="20"/>
                <w:szCs w:val="20"/>
                <w:lang w:val="en-GB"/>
              </w:rPr>
              <w:t>ICRC</w:t>
            </w:r>
          </w:p>
        </w:tc>
        <w:tc>
          <w:tcPr>
            <w:tcW w:w="1255" w:type="dxa"/>
          </w:tcPr>
          <w:p w14:paraId="7FB0D7FD" w14:textId="38AEA19F" w:rsidR="00E91AED" w:rsidRPr="00513BF4" w:rsidRDefault="00200D0E" w:rsidP="00F906B4">
            <w:pPr>
              <w:jc w:val="both"/>
              <w:rPr>
                <w:sz w:val="20"/>
                <w:szCs w:val="20"/>
                <w:lang w:val="en-GB"/>
              </w:rPr>
            </w:pPr>
            <w:r w:rsidRPr="00513BF4">
              <w:rPr>
                <w:sz w:val="20"/>
                <w:szCs w:val="20"/>
                <w:lang w:val="en-GB"/>
              </w:rPr>
              <w:t>2017-2018</w:t>
            </w:r>
          </w:p>
        </w:tc>
        <w:tc>
          <w:tcPr>
            <w:tcW w:w="1350" w:type="dxa"/>
          </w:tcPr>
          <w:p w14:paraId="3E5B0BEE" w14:textId="1A9DB6C0" w:rsidR="00E91AED" w:rsidRPr="00513BF4" w:rsidRDefault="00044266" w:rsidP="00F906B4">
            <w:pPr>
              <w:jc w:val="both"/>
              <w:rPr>
                <w:sz w:val="20"/>
                <w:szCs w:val="20"/>
                <w:lang w:val="en-GB"/>
              </w:rPr>
            </w:pPr>
            <w:r>
              <w:rPr>
                <w:sz w:val="20"/>
                <w:szCs w:val="20"/>
                <w:lang w:val="en-GB"/>
              </w:rPr>
              <w:t>Kismayo</w:t>
            </w:r>
          </w:p>
        </w:tc>
        <w:tc>
          <w:tcPr>
            <w:tcW w:w="2970" w:type="dxa"/>
          </w:tcPr>
          <w:p w14:paraId="45E58F97" w14:textId="44530456" w:rsidR="00E91AED" w:rsidRPr="00513BF4" w:rsidRDefault="00200D0E" w:rsidP="00F906B4">
            <w:pPr>
              <w:jc w:val="both"/>
              <w:rPr>
                <w:sz w:val="20"/>
                <w:szCs w:val="20"/>
                <w:lang w:val="en-GB"/>
              </w:rPr>
            </w:pPr>
            <w:r w:rsidRPr="00513BF4">
              <w:rPr>
                <w:sz w:val="20"/>
                <w:szCs w:val="20"/>
                <w:lang w:val="en-GB"/>
              </w:rPr>
              <w:t xml:space="preserve">Commodity vouchers plus </w:t>
            </w:r>
            <w:r w:rsidR="00513BF4" w:rsidRPr="00513BF4">
              <w:rPr>
                <w:sz w:val="20"/>
                <w:szCs w:val="20"/>
                <w:lang w:val="en-GB"/>
              </w:rPr>
              <w:t>SC</w:t>
            </w:r>
            <w:r w:rsidRPr="00513BF4">
              <w:rPr>
                <w:sz w:val="20"/>
                <w:szCs w:val="20"/>
                <w:lang w:val="en-GB"/>
              </w:rPr>
              <w:t xml:space="preserve"> to prevent MN</w:t>
            </w:r>
          </w:p>
        </w:tc>
        <w:tc>
          <w:tcPr>
            <w:tcW w:w="2515" w:type="dxa"/>
          </w:tcPr>
          <w:p w14:paraId="12C25D70" w14:textId="01E26469" w:rsidR="00E91AED" w:rsidRPr="00513BF4" w:rsidRDefault="00200D0E" w:rsidP="00F906B4">
            <w:pPr>
              <w:jc w:val="both"/>
              <w:rPr>
                <w:sz w:val="20"/>
                <w:szCs w:val="20"/>
                <w:lang w:val="en-GB"/>
              </w:rPr>
            </w:pPr>
            <w:r w:rsidRPr="00513BF4">
              <w:rPr>
                <w:sz w:val="20"/>
                <w:szCs w:val="20"/>
                <w:lang w:val="en-GB"/>
              </w:rPr>
              <w:t>ICRC learning document</w:t>
            </w:r>
          </w:p>
        </w:tc>
      </w:tr>
      <w:tr w:rsidR="00E91AED" w:rsidRPr="00513BF4" w14:paraId="21BFD6E6" w14:textId="77777777" w:rsidTr="00CF3A25">
        <w:tc>
          <w:tcPr>
            <w:tcW w:w="1260" w:type="dxa"/>
          </w:tcPr>
          <w:p w14:paraId="7397555B" w14:textId="0D72D1AD" w:rsidR="00E91AED" w:rsidRPr="00513BF4" w:rsidRDefault="00E91AED" w:rsidP="00F906B4">
            <w:pPr>
              <w:jc w:val="both"/>
              <w:rPr>
                <w:sz w:val="20"/>
                <w:szCs w:val="20"/>
                <w:lang w:val="en-GB"/>
              </w:rPr>
            </w:pPr>
            <w:r w:rsidRPr="00513BF4">
              <w:rPr>
                <w:sz w:val="20"/>
                <w:szCs w:val="20"/>
                <w:lang w:val="en-GB"/>
              </w:rPr>
              <w:t>UNICEF</w:t>
            </w:r>
          </w:p>
        </w:tc>
        <w:tc>
          <w:tcPr>
            <w:tcW w:w="1255" w:type="dxa"/>
          </w:tcPr>
          <w:p w14:paraId="0FB27414" w14:textId="77777777" w:rsidR="00E91AED" w:rsidRPr="00513BF4" w:rsidRDefault="00E91AED" w:rsidP="00F906B4">
            <w:pPr>
              <w:jc w:val="both"/>
              <w:rPr>
                <w:sz w:val="20"/>
                <w:szCs w:val="20"/>
                <w:lang w:val="en-GB"/>
              </w:rPr>
            </w:pPr>
            <w:r w:rsidRPr="00513BF4">
              <w:rPr>
                <w:sz w:val="20"/>
                <w:szCs w:val="20"/>
                <w:lang w:val="en-GB"/>
              </w:rPr>
              <w:t>2019-2020</w:t>
            </w:r>
          </w:p>
        </w:tc>
        <w:tc>
          <w:tcPr>
            <w:tcW w:w="1350" w:type="dxa"/>
          </w:tcPr>
          <w:p w14:paraId="4C1BEC05" w14:textId="37A16578" w:rsidR="00E91AED" w:rsidRPr="00513BF4" w:rsidRDefault="00044266" w:rsidP="00F906B4">
            <w:pPr>
              <w:jc w:val="both"/>
              <w:rPr>
                <w:i/>
                <w:iCs/>
                <w:sz w:val="20"/>
                <w:szCs w:val="20"/>
                <w:lang w:val="en-GB"/>
              </w:rPr>
            </w:pPr>
            <w:proofErr w:type="spellStart"/>
            <w:r>
              <w:rPr>
                <w:i/>
                <w:iCs/>
                <w:sz w:val="20"/>
                <w:szCs w:val="20"/>
                <w:lang w:val="en-GB"/>
              </w:rPr>
              <w:t>Bakool</w:t>
            </w:r>
            <w:proofErr w:type="spellEnd"/>
            <w:r>
              <w:rPr>
                <w:i/>
                <w:iCs/>
                <w:sz w:val="20"/>
                <w:szCs w:val="20"/>
                <w:lang w:val="en-GB"/>
              </w:rPr>
              <w:t xml:space="preserve"> region</w:t>
            </w:r>
          </w:p>
        </w:tc>
        <w:tc>
          <w:tcPr>
            <w:tcW w:w="2970" w:type="dxa"/>
          </w:tcPr>
          <w:p w14:paraId="663A63F7" w14:textId="77777777" w:rsidR="00E91AED" w:rsidRPr="00513BF4" w:rsidRDefault="00E91AED" w:rsidP="00F906B4">
            <w:pPr>
              <w:jc w:val="both"/>
              <w:rPr>
                <w:sz w:val="20"/>
                <w:szCs w:val="20"/>
                <w:lang w:val="en-GB"/>
              </w:rPr>
            </w:pPr>
            <w:r w:rsidRPr="00513BF4">
              <w:rPr>
                <w:sz w:val="20"/>
                <w:szCs w:val="20"/>
                <w:lang w:val="en-GB"/>
              </w:rPr>
              <w:t>Safety net cash programme</w:t>
            </w:r>
          </w:p>
        </w:tc>
        <w:tc>
          <w:tcPr>
            <w:tcW w:w="2515" w:type="dxa"/>
          </w:tcPr>
          <w:p w14:paraId="6919E700" w14:textId="63C73A4B" w:rsidR="00E91AED" w:rsidRPr="00513BF4" w:rsidRDefault="00E91AED" w:rsidP="00F906B4">
            <w:pPr>
              <w:jc w:val="both"/>
              <w:rPr>
                <w:sz w:val="20"/>
                <w:szCs w:val="20"/>
                <w:lang w:val="en-GB"/>
              </w:rPr>
            </w:pPr>
            <w:r w:rsidRPr="00513BF4">
              <w:rPr>
                <w:sz w:val="20"/>
                <w:szCs w:val="20"/>
                <w:lang w:val="en-GB"/>
              </w:rPr>
              <w:t>Concept note</w:t>
            </w:r>
            <w:r w:rsidR="00121CC9">
              <w:rPr>
                <w:sz w:val="20"/>
                <w:szCs w:val="20"/>
                <w:lang w:val="en-GB"/>
              </w:rPr>
              <w:t xml:space="preserve"> </w:t>
            </w:r>
          </w:p>
        </w:tc>
      </w:tr>
      <w:tr w:rsidR="00AD4520" w:rsidRPr="00513BF4" w14:paraId="1D35B8CF" w14:textId="77777777" w:rsidTr="00CF3A25">
        <w:tc>
          <w:tcPr>
            <w:tcW w:w="1260" w:type="dxa"/>
          </w:tcPr>
          <w:p w14:paraId="18752B48" w14:textId="77777777" w:rsidR="00AD4520" w:rsidRPr="00513BF4" w:rsidRDefault="00AD4520" w:rsidP="00F906B4">
            <w:pPr>
              <w:jc w:val="both"/>
              <w:rPr>
                <w:sz w:val="20"/>
                <w:szCs w:val="20"/>
                <w:lang w:val="en-GB"/>
              </w:rPr>
            </w:pPr>
            <w:r w:rsidRPr="00513BF4">
              <w:rPr>
                <w:sz w:val="20"/>
                <w:szCs w:val="20"/>
                <w:lang w:val="en-GB"/>
              </w:rPr>
              <w:t>WFP</w:t>
            </w:r>
          </w:p>
        </w:tc>
        <w:tc>
          <w:tcPr>
            <w:tcW w:w="1255" w:type="dxa"/>
          </w:tcPr>
          <w:p w14:paraId="620A24B9" w14:textId="77777777" w:rsidR="00AD4520" w:rsidRPr="00513BF4" w:rsidRDefault="00AD4520" w:rsidP="00F906B4">
            <w:pPr>
              <w:jc w:val="both"/>
              <w:rPr>
                <w:sz w:val="20"/>
                <w:szCs w:val="20"/>
                <w:lang w:val="en-GB"/>
              </w:rPr>
            </w:pPr>
            <w:r w:rsidRPr="00513BF4">
              <w:rPr>
                <w:sz w:val="20"/>
                <w:szCs w:val="20"/>
                <w:lang w:val="en-GB"/>
              </w:rPr>
              <w:t>2016-ongoing</w:t>
            </w:r>
          </w:p>
        </w:tc>
        <w:tc>
          <w:tcPr>
            <w:tcW w:w="1350" w:type="dxa"/>
          </w:tcPr>
          <w:p w14:paraId="3A2FB68F" w14:textId="21D09375" w:rsidR="00AD4520" w:rsidRPr="00513BF4" w:rsidRDefault="00E641C9" w:rsidP="00F906B4">
            <w:pPr>
              <w:jc w:val="both"/>
              <w:rPr>
                <w:sz w:val="20"/>
                <w:szCs w:val="20"/>
                <w:lang w:val="en-GB"/>
              </w:rPr>
            </w:pPr>
            <w:r w:rsidRPr="00513BF4">
              <w:rPr>
                <w:sz w:val="20"/>
                <w:szCs w:val="20"/>
                <w:lang w:val="en-GB"/>
              </w:rPr>
              <w:t>Several regions</w:t>
            </w:r>
          </w:p>
        </w:tc>
        <w:tc>
          <w:tcPr>
            <w:tcW w:w="2970" w:type="dxa"/>
          </w:tcPr>
          <w:p w14:paraId="537B4E43" w14:textId="77777777" w:rsidR="00AD4520" w:rsidRPr="00513BF4" w:rsidRDefault="00AD4520" w:rsidP="00F906B4">
            <w:pPr>
              <w:jc w:val="both"/>
              <w:rPr>
                <w:sz w:val="20"/>
                <w:szCs w:val="20"/>
                <w:lang w:val="en-GB"/>
              </w:rPr>
            </w:pPr>
            <w:r w:rsidRPr="00513BF4">
              <w:rPr>
                <w:sz w:val="20"/>
                <w:szCs w:val="20"/>
                <w:lang w:val="en-GB"/>
              </w:rPr>
              <w:t>e-vegetable programme (with fresh food vouchers)</w:t>
            </w:r>
          </w:p>
        </w:tc>
        <w:tc>
          <w:tcPr>
            <w:tcW w:w="2515" w:type="dxa"/>
          </w:tcPr>
          <w:p w14:paraId="3C7630AA" w14:textId="2FFFCC47" w:rsidR="00AD4520" w:rsidRPr="00513BF4" w:rsidRDefault="003C053C" w:rsidP="00F906B4">
            <w:pPr>
              <w:jc w:val="both"/>
              <w:rPr>
                <w:sz w:val="20"/>
                <w:szCs w:val="20"/>
                <w:lang w:val="en-GB"/>
              </w:rPr>
            </w:pPr>
            <w:r>
              <w:rPr>
                <w:sz w:val="20"/>
                <w:szCs w:val="20"/>
                <w:lang w:val="en-GB"/>
              </w:rPr>
              <w:t xml:space="preserve">Concept note </w:t>
            </w:r>
          </w:p>
        </w:tc>
      </w:tr>
    </w:tbl>
    <w:p w14:paraId="3F95C52F" w14:textId="77777777" w:rsidR="00E91AED" w:rsidRPr="00513BF4" w:rsidRDefault="00E91AED" w:rsidP="00F906B4">
      <w:pPr>
        <w:jc w:val="both"/>
        <w:rPr>
          <w:lang w:val="en-GB"/>
        </w:rPr>
      </w:pPr>
      <w:r w:rsidRPr="00513BF4">
        <w:rPr>
          <w:lang w:val="en-GB"/>
        </w:rPr>
        <w:t>Table 1. Overview on reviewed projects and documentation</w:t>
      </w:r>
    </w:p>
    <w:p w14:paraId="517F240A" w14:textId="3281BB52" w:rsidR="00E91AED" w:rsidRPr="00513BF4" w:rsidRDefault="00E91AED" w:rsidP="00F906B4">
      <w:pPr>
        <w:jc w:val="both"/>
        <w:rPr>
          <w:lang w:val="en-GB"/>
        </w:rPr>
      </w:pPr>
      <w:r w:rsidRPr="00513BF4">
        <w:rPr>
          <w:lang w:val="en-GB"/>
        </w:rPr>
        <w:t xml:space="preserve">In addition, </w:t>
      </w:r>
      <w:r w:rsidR="00AB57F4" w:rsidRPr="00513BF4">
        <w:rPr>
          <w:lang w:val="en-GB"/>
        </w:rPr>
        <w:t>three</w:t>
      </w:r>
      <w:r w:rsidRPr="00513BF4">
        <w:rPr>
          <w:lang w:val="en-GB"/>
        </w:rPr>
        <w:t xml:space="preserve"> peer-reviewed studies on CVA and nutrition </w:t>
      </w:r>
      <w:r w:rsidR="00601843" w:rsidRPr="00513BF4">
        <w:rPr>
          <w:lang w:val="en-GB"/>
        </w:rPr>
        <w:t>Somalia were identified</w:t>
      </w:r>
      <w:r w:rsidRPr="00513BF4">
        <w:rPr>
          <w:lang w:val="en-GB"/>
        </w:rPr>
        <w:t xml:space="preserve"> Somalia</w:t>
      </w:r>
      <w:r w:rsidR="00AB57F4" w:rsidRPr="00513BF4">
        <w:rPr>
          <w:lang w:val="en-GB"/>
        </w:rPr>
        <w:t xml:space="preserve"> and are included in this case study</w:t>
      </w:r>
      <w:r w:rsidRPr="00513BF4">
        <w:rPr>
          <w:lang w:val="en-GB"/>
        </w:rPr>
        <w:t xml:space="preserve"> (see table </w:t>
      </w:r>
      <w:r w:rsidR="00AB57F4" w:rsidRPr="00513BF4">
        <w:rPr>
          <w:lang w:val="en-GB"/>
        </w:rPr>
        <w:t>2</w:t>
      </w:r>
      <w:r w:rsidR="00601843" w:rsidRPr="00513BF4">
        <w:rPr>
          <w:lang w:val="en-GB"/>
        </w:rPr>
        <w:t xml:space="preserve"> below</w:t>
      </w:r>
      <w:r w:rsidRPr="00513BF4">
        <w:rPr>
          <w:lang w:val="en-GB"/>
        </w:rPr>
        <w:t xml:space="preserve">). </w:t>
      </w:r>
    </w:p>
    <w:tbl>
      <w:tblPr>
        <w:tblStyle w:val="TableGrid"/>
        <w:tblW w:w="9355" w:type="dxa"/>
        <w:tblLook w:val="04A0" w:firstRow="1" w:lastRow="0" w:firstColumn="1" w:lastColumn="0" w:noHBand="0" w:noVBand="1"/>
      </w:tblPr>
      <w:tblGrid>
        <w:gridCol w:w="2124"/>
        <w:gridCol w:w="1831"/>
        <w:gridCol w:w="5400"/>
      </w:tblGrid>
      <w:tr w:rsidR="00E91AED" w:rsidRPr="00513BF4" w14:paraId="1BD57591" w14:textId="77777777" w:rsidTr="00730C13">
        <w:tc>
          <w:tcPr>
            <w:tcW w:w="2124" w:type="dxa"/>
          </w:tcPr>
          <w:p w14:paraId="159672DF" w14:textId="5410D9E4" w:rsidR="00E91AED" w:rsidRPr="00513BF4" w:rsidRDefault="00E91AED" w:rsidP="00F906B4">
            <w:pPr>
              <w:jc w:val="both"/>
              <w:rPr>
                <w:b/>
                <w:bCs/>
                <w:sz w:val="20"/>
                <w:szCs w:val="20"/>
                <w:lang w:val="en-GB"/>
              </w:rPr>
            </w:pPr>
            <w:r w:rsidRPr="00513BF4">
              <w:rPr>
                <w:b/>
                <w:bCs/>
                <w:sz w:val="20"/>
                <w:szCs w:val="20"/>
                <w:lang w:val="en-GB"/>
              </w:rPr>
              <w:t>Research inst. and publication</w:t>
            </w:r>
            <w:r w:rsidR="00AB57F4" w:rsidRPr="00513BF4">
              <w:rPr>
                <w:b/>
                <w:bCs/>
                <w:sz w:val="20"/>
                <w:szCs w:val="20"/>
                <w:lang w:val="en-GB"/>
              </w:rPr>
              <w:t xml:space="preserve"> year</w:t>
            </w:r>
          </w:p>
        </w:tc>
        <w:tc>
          <w:tcPr>
            <w:tcW w:w="1831" w:type="dxa"/>
          </w:tcPr>
          <w:p w14:paraId="47C18351" w14:textId="77777777" w:rsidR="00E91AED" w:rsidRPr="00513BF4" w:rsidRDefault="00E91AED" w:rsidP="00F906B4">
            <w:pPr>
              <w:jc w:val="both"/>
              <w:rPr>
                <w:b/>
                <w:bCs/>
                <w:sz w:val="20"/>
                <w:szCs w:val="20"/>
                <w:lang w:val="en-GB"/>
              </w:rPr>
            </w:pPr>
            <w:r w:rsidRPr="00513BF4">
              <w:rPr>
                <w:b/>
                <w:bCs/>
                <w:sz w:val="20"/>
                <w:szCs w:val="20"/>
                <w:lang w:val="en-GB"/>
              </w:rPr>
              <w:t>Humanitarian partner</w:t>
            </w:r>
          </w:p>
        </w:tc>
        <w:tc>
          <w:tcPr>
            <w:tcW w:w="5400" w:type="dxa"/>
          </w:tcPr>
          <w:p w14:paraId="65D79E01" w14:textId="0DF90E45" w:rsidR="00E91AED" w:rsidRPr="00513BF4" w:rsidRDefault="00AB57F4" w:rsidP="00F906B4">
            <w:pPr>
              <w:jc w:val="both"/>
              <w:rPr>
                <w:b/>
                <w:bCs/>
                <w:sz w:val="20"/>
                <w:szCs w:val="20"/>
                <w:lang w:val="en-GB"/>
              </w:rPr>
            </w:pPr>
            <w:r w:rsidRPr="00513BF4">
              <w:rPr>
                <w:b/>
                <w:bCs/>
                <w:sz w:val="20"/>
                <w:szCs w:val="20"/>
                <w:lang w:val="en-GB"/>
              </w:rPr>
              <w:t>Study name</w:t>
            </w:r>
          </w:p>
        </w:tc>
      </w:tr>
      <w:tr w:rsidR="00E91AED" w:rsidRPr="00513BF4" w14:paraId="44F821CC" w14:textId="77777777" w:rsidTr="00730C13">
        <w:tc>
          <w:tcPr>
            <w:tcW w:w="2124" w:type="dxa"/>
          </w:tcPr>
          <w:p w14:paraId="670BF00C" w14:textId="071DA427" w:rsidR="00E91AED" w:rsidRPr="00513BF4" w:rsidRDefault="00E91AED" w:rsidP="00F906B4">
            <w:pPr>
              <w:jc w:val="both"/>
              <w:rPr>
                <w:sz w:val="20"/>
                <w:szCs w:val="20"/>
                <w:lang w:val="en-GB"/>
              </w:rPr>
            </w:pPr>
            <w:r w:rsidRPr="00513BF4">
              <w:rPr>
                <w:sz w:val="20"/>
                <w:szCs w:val="20"/>
                <w:lang w:val="en-GB"/>
              </w:rPr>
              <w:t>University College London</w:t>
            </w:r>
            <w:r w:rsidR="00E641C9" w:rsidRPr="00513BF4">
              <w:rPr>
                <w:sz w:val="20"/>
                <w:szCs w:val="20"/>
                <w:lang w:val="en-GB"/>
              </w:rPr>
              <w:t>, 2018</w:t>
            </w:r>
            <w:r w:rsidR="00B6479B" w:rsidRPr="00513BF4">
              <w:rPr>
                <w:sz w:val="20"/>
                <w:szCs w:val="20"/>
                <w:lang w:val="en-GB"/>
              </w:rPr>
              <w:t xml:space="preserve"> (</w:t>
            </w:r>
            <w:r w:rsidR="00E5774E" w:rsidRPr="00513BF4">
              <w:rPr>
                <w:sz w:val="20"/>
                <w:szCs w:val="20"/>
                <w:lang w:val="en-GB"/>
              </w:rPr>
              <w:t>Grijalva-Eternod et al.)</w:t>
            </w:r>
          </w:p>
        </w:tc>
        <w:tc>
          <w:tcPr>
            <w:tcW w:w="1831" w:type="dxa"/>
          </w:tcPr>
          <w:p w14:paraId="5004FB4A" w14:textId="77777777" w:rsidR="00E91AED" w:rsidRPr="00513BF4" w:rsidRDefault="00E91AED" w:rsidP="00F906B4">
            <w:pPr>
              <w:jc w:val="both"/>
              <w:rPr>
                <w:sz w:val="20"/>
                <w:szCs w:val="20"/>
                <w:lang w:val="en-GB"/>
              </w:rPr>
            </w:pPr>
            <w:r w:rsidRPr="00513BF4">
              <w:rPr>
                <w:sz w:val="20"/>
                <w:szCs w:val="20"/>
                <w:lang w:val="en-GB"/>
              </w:rPr>
              <w:t>Concern International</w:t>
            </w:r>
          </w:p>
        </w:tc>
        <w:tc>
          <w:tcPr>
            <w:tcW w:w="5400" w:type="dxa"/>
          </w:tcPr>
          <w:p w14:paraId="6A29142E" w14:textId="77777777" w:rsidR="00E91AED" w:rsidRPr="00513BF4" w:rsidRDefault="00E91AED" w:rsidP="00F906B4">
            <w:pPr>
              <w:jc w:val="both"/>
              <w:rPr>
                <w:sz w:val="20"/>
                <w:szCs w:val="20"/>
                <w:lang w:val="en-GB"/>
              </w:rPr>
            </w:pPr>
            <w:r w:rsidRPr="00513BF4">
              <w:rPr>
                <w:sz w:val="20"/>
                <w:szCs w:val="20"/>
                <w:lang w:val="en-GB"/>
              </w:rPr>
              <w:t>A cash-based intervention and the risk of acute malnutrition in children aged 6–59 months living in internally displaced persons camps in Mogadishu, Somalia: A non-randomised cluster trial</w:t>
            </w:r>
          </w:p>
        </w:tc>
      </w:tr>
      <w:tr w:rsidR="00E91AED" w:rsidRPr="00513BF4" w14:paraId="53F9AF6C" w14:textId="77777777" w:rsidTr="00730C13">
        <w:tc>
          <w:tcPr>
            <w:tcW w:w="2124" w:type="dxa"/>
          </w:tcPr>
          <w:p w14:paraId="7E3556F6" w14:textId="149E798E" w:rsidR="00E91AED" w:rsidRPr="00513BF4" w:rsidRDefault="00E91AED" w:rsidP="00F906B4">
            <w:pPr>
              <w:jc w:val="both"/>
              <w:rPr>
                <w:sz w:val="20"/>
                <w:szCs w:val="20"/>
                <w:lang w:val="en-GB"/>
              </w:rPr>
            </w:pPr>
            <w:r w:rsidRPr="00513BF4">
              <w:rPr>
                <w:bCs/>
                <w:sz w:val="20"/>
                <w:szCs w:val="20"/>
                <w:lang w:val="en-GB"/>
              </w:rPr>
              <w:t>John Hopkins</w:t>
            </w:r>
            <w:r w:rsidR="00730C13" w:rsidRPr="00513BF4">
              <w:rPr>
                <w:bCs/>
                <w:sz w:val="20"/>
                <w:szCs w:val="20"/>
                <w:lang w:val="en-GB"/>
              </w:rPr>
              <w:t>, 2020</w:t>
            </w:r>
            <w:r w:rsidR="00E5774E" w:rsidRPr="00513BF4">
              <w:rPr>
                <w:bCs/>
                <w:sz w:val="20"/>
                <w:szCs w:val="20"/>
                <w:lang w:val="en-GB"/>
              </w:rPr>
              <w:t xml:space="preserve"> (</w:t>
            </w:r>
            <w:proofErr w:type="spellStart"/>
            <w:r w:rsidR="00E5774E" w:rsidRPr="00513BF4">
              <w:rPr>
                <w:bCs/>
                <w:sz w:val="20"/>
                <w:szCs w:val="20"/>
                <w:lang w:val="en-GB"/>
              </w:rPr>
              <w:t>Doocy</w:t>
            </w:r>
            <w:proofErr w:type="spellEnd"/>
            <w:r w:rsidR="00E641C9" w:rsidRPr="00513BF4">
              <w:rPr>
                <w:bCs/>
                <w:sz w:val="20"/>
                <w:szCs w:val="20"/>
                <w:lang w:val="en-GB"/>
              </w:rPr>
              <w:t xml:space="preserve"> et al.</w:t>
            </w:r>
            <w:r w:rsidR="00E5774E" w:rsidRPr="00513BF4">
              <w:rPr>
                <w:bCs/>
                <w:sz w:val="20"/>
                <w:szCs w:val="20"/>
                <w:lang w:val="en-GB"/>
              </w:rPr>
              <w:t>)</w:t>
            </w:r>
          </w:p>
        </w:tc>
        <w:tc>
          <w:tcPr>
            <w:tcW w:w="1831" w:type="dxa"/>
          </w:tcPr>
          <w:p w14:paraId="5F5622FC" w14:textId="77777777" w:rsidR="00E91AED" w:rsidRPr="00513BF4" w:rsidRDefault="00E91AED" w:rsidP="00F906B4">
            <w:pPr>
              <w:jc w:val="both"/>
              <w:rPr>
                <w:sz w:val="20"/>
                <w:szCs w:val="20"/>
                <w:lang w:val="en-GB"/>
              </w:rPr>
            </w:pPr>
            <w:r w:rsidRPr="00513BF4">
              <w:rPr>
                <w:sz w:val="20"/>
                <w:szCs w:val="20"/>
                <w:lang w:val="en-GB"/>
              </w:rPr>
              <w:t>World Vision International</w:t>
            </w:r>
          </w:p>
        </w:tc>
        <w:tc>
          <w:tcPr>
            <w:tcW w:w="5400" w:type="dxa"/>
          </w:tcPr>
          <w:p w14:paraId="06891510" w14:textId="77777777" w:rsidR="00E91AED" w:rsidRPr="00513BF4" w:rsidRDefault="00E91AED" w:rsidP="00F906B4">
            <w:pPr>
              <w:jc w:val="both"/>
              <w:rPr>
                <w:sz w:val="20"/>
                <w:szCs w:val="20"/>
                <w:lang w:val="en-GB"/>
              </w:rPr>
            </w:pPr>
            <w:r w:rsidRPr="00513BF4">
              <w:rPr>
                <w:sz w:val="20"/>
                <w:szCs w:val="20"/>
                <w:lang w:val="en-GB"/>
              </w:rPr>
              <w:t>Cash and voucher assistance and children's nutrition status in Somalia</w:t>
            </w:r>
          </w:p>
        </w:tc>
      </w:tr>
      <w:tr w:rsidR="00601496" w:rsidRPr="00513BF4" w14:paraId="149F7A96" w14:textId="77777777" w:rsidTr="00730C13">
        <w:tc>
          <w:tcPr>
            <w:tcW w:w="2124" w:type="dxa"/>
          </w:tcPr>
          <w:p w14:paraId="58BE6679" w14:textId="7D20BFDD" w:rsidR="00601496" w:rsidRPr="00513BF4" w:rsidRDefault="00601496" w:rsidP="00F906B4">
            <w:pPr>
              <w:jc w:val="both"/>
              <w:rPr>
                <w:bCs/>
                <w:sz w:val="20"/>
                <w:szCs w:val="20"/>
                <w:lang w:val="en-GB"/>
              </w:rPr>
            </w:pPr>
            <w:r w:rsidRPr="00513BF4">
              <w:rPr>
                <w:bCs/>
                <w:sz w:val="20"/>
                <w:szCs w:val="20"/>
                <w:lang w:val="en-GB"/>
              </w:rPr>
              <w:t>University College London, 2020</w:t>
            </w:r>
          </w:p>
        </w:tc>
        <w:tc>
          <w:tcPr>
            <w:tcW w:w="1831" w:type="dxa"/>
          </w:tcPr>
          <w:p w14:paraId="1B6E1723" w14:textId="60A32AE4" w:rsidR="00601496" w:rsidRPr="00513BF4" w:rsidRDefault="00601496" w:rsidP="00F906B4">
            <w:pPr>
              <w:jc w:val="both"/>
              <w:rPr>
                <w:sz w:val="20"/>
                <w:szCs w:val="20"/>
                <w:lang w:val="en-GB"/>
              </w:rPr>
            </w:pPr>
            <w:r w:rsidRPr="00513BF4">
              <w:rPr>
                <w:sz w:val="20"/>
                <w:szCs w:val="20"/>
                <w:lang w:val="en-GB"/>
              </w:rPr>
              <w:t>Concern International</w:t>
            </w:r>
          </w:p>
        </w:tc>
        <w:tc>
          <w:tcPr>
            <w:tcW w:w="5400" w:type="dxa"/>
          </w:tcPr>
          <w:p w14:paraId="697A51C2" w14:textId="2E929571" w:rsidR="00601496" w:rsidRPr="00513BF4" w:rsidRDefault="00CA1528" w:rsidP="00F906B4">
            <w:pPr>
              <w:jc w:val="both"/>
              <w:rPr>
                <w:sz w:val="20"/>
                <w:szCs w:val="20"/>
                <w:lang w:val="en-GB"/>
              </w:rPr>
            </w:pPr>
            <w:r w:rsidRPr="00513BF4">
              <w:rPr>
                <w:sz w:val="20"/>
                <w:szCs w:val="20"/>
                <w:lang w:val="en-GB"/>
              </w:rPr>
              <w:t>Cash for improved nutrition in Somalia (CINS) –</w:t>
            </w:r>
            <w:r w:rsidR="00601496" w:rsidRPr="00513BF4">
              <w:rPr>
                <w:sz w:val="20"/>
                <w:szCs w:val="20"/>
                <w:lang w:val="en-GB"/>
              </w:rPr>
              <w:t>unpublished</w:t>
            </w:r>
          </w:p>
        </w:tc>
      </w:tr>
    </w:tbl>
    <w:p w14:paraId="125A1994" w14:textId="6C5F3E5D" w:rsidR="00E14A5D" w:rsidRPr="00513BF4" w:rsidRDefault="00E91AED" w:rsidP="00F906B4">
      <w:pPr>
        <w:jc w:val="both"/>
        <w:rPr>
          <w:lang w:val="en-GB"/>
        </w:rPr>
      </w:pPr>
      <w:r w:rsidRPr="00513BF4">
        <w:rPr>
          <w:lang w:val="en-GB"/>
        </w:rPr>
        <w:t>Table 2. Peer reviewed studies on CVA and nutrition in Somalia</w:t>
      </w:r>
    </w:p>
    <w:p w14:paraId="223F2DDA" w14:textId="77777777" w:rsidR="00016825" w:rsidRPr="00513BF4" w:rsidRDefault="00016825" w:rsidP="00F906B4">
      <w:pPr>
        <w:jc w:val="both"/>
        <w:rPr>
          <w:i/>
          <w:iCs/>
          <w:lang w:val="en-GB"/>
        </w:rPr>
      </w:pPr>
    </w:p>
    <w:p w14:paraId="757B56C0" w14:textId="470B9425" w:rsidR="00E14A5D" w:rsidRPr="00513BF4" w:rsidRDefault="00016825" w:rsidP="00F906B4">
      <w:pPr>
        <w:jc w:val="both"/>
        <w:rPr>
          <w:i/>
          <w:iCs/>
          <w:lang w:val="en-GB"/>
        </w:rPr>
      </w:pPr>
      <w:r w:rsidRPr="00513BF4">
        <w:rPr>
          <w:i/>
          <w:iCs/>
          <w:lang w:val="en-GB"/>
        </w:rPr>
        <w:t>Structure</w:t>
      </w:r>
    </w:p>
    <w:p w14:paraId="59841763" w14:textId="4F302259" w:rsidR="00281504" w:rsidRPr="00513BF4" w:rsidRDefault="00E14A5D" w:rsidP="00F906B4">
      <w:pPr>
        <w:jc w:val="both"/>
        <w:rPr>
          <w:lang w:val="en-GB"/>
        </w:rPr>
      </w:pPr>
      <w:r w:rsidRPr="00513BF4">
        <w:rPr>
          <w:lang w:val="en-GB"/>
        </w:rPr>
        <w:lastRenderedPageBreak/>
        <w:t>Chapter 2 of the case study looks at the role of CVA in nutrition programming. It draws heavily from the d</w:t>
      </w:r>
      <w:r w:rsidR="00281504" w:rsidRPr="00513BF4">
        <w:rPr>
          <w:lang w:val="en-GB"/>
        </w:rPr>
        <w:t xml:space="preserve">raft </w:t>
      </w:r>
      <w:r w:rsidR="0038250E" w:rsidRPr="00513BF4">
        <w:rPr>
          <w:lang w:val="en-GB"/>
        </w:rPr>
        <w:t xml:space="preserve">‘evidence and guidance note on the use of CVA for nutrition </w:t>
      </w:r>
      <w:proofErr w:type="gramStart"/>
      <w:r w:rsidR="0038250E" w:rsidRPr="00513BF4">
        <w:rPr>
          <w:lang w:val="en-GB"/>
        </w:rPr>
        <w:t>outcomes</w:t>
      </w:r>
      <w:r w:rsidRPr="00513BF4">
        <w:rPr>
          <w:lang w:val="en-GB"/>
        </w:rPr>
        <w:t>’</w:t>
      </w:r>
      <w:proofErr w:type="gramEnd"/>
      <w:r w:rsidR="0038250E" w:rsidRPr="00513BF4">
        <w:rPr>
          <w:lang w:val="en-GB"/>
        </w:rPr>
        <w:t>.</w:t>
      </w:r>
      <w:r w:rsidRPr="00513BF4">
        <w:rPr>
          <w:lang w:val="en-GB"/>
        </w:rPr>
        <w:t xml:space="preserve"> Chapter 3 </w:t>
      </w:r>
      <w:r w:rsidR="00186384" w:rsidRPr="00513BF4">
        <w:rPr>
          <w:lang w:val="en-GB"/>
        </w:rPr>
        <w:t xml:space="preserve">reviews past and ongoing nutrition </w:t>
      </w:r>
      <w:r w:rsidR="00E91AED" w:rsidRPr="00513BF4">
        <w:rPr>
          <w:lang w:val="en-GB"/>
        </w:rPr>
        <w:t>interventions</w:t>
      </w:r>
      <w:r w:rsidR="00186384" w:rsidRPr="00513BF4">
        <w:rPr>
          <w:lang w:val="en-GB"/>
        </w:rPr>
        <w:t xml:space="preserve"> with a CVA component </w:t>
      </w:r>
      <w:r w:rsidR="00E91AED" w:rsidRPr="00513BF4">
        <w:rPr>
          <w:lang w:val="en-GB"/>
        </w:rPr>
        <w:t xml:space="preserve">in Somalia </w:t>
      </w:r>
      <w:r w:rsidR="00186384" w:rsidRPr="00513BF4">
        <w:rPr>
          <w:lang w:val="en-GB"/>
        </w:rPr>
        <w:t xml:space="preserve">with a </w:t>
      </w:r>
      <w:proofErr w:type="gramStart"/>
      <w:r w:rsidR="00186384" w:rsidRPr="00513BF4">
        <w:rPr>
          <w:lang w:val="en-GB"/>
        </w:rPr>
        <w:t>particular focus</w:t>
      </w:r>
      <w:proofErr w:type="gramEnd"/>
      <w:r w:rsidR="00186384" w:rsidRPr="00513BF4">
        <w:rPr>
          <w:lang w:val="en-GB"/>
        </w:rPr>
        <w:t xml:space="preserve"> on design, results and learning. </w:t>
      </w:r>
      <w:r w:rsidR="00E91AED" w:rsidRPr="00513BF4">
        <w:rPr>
          <w:lang w:val="en-GB"/>
        </w:rPr>
        <w:t xml:space="preserve">It further incorporates results and learning from peer-reviewed studies conducted in Somalia. </w:t>
      </w:r>
      <w:r w:rsidR="00186384" w:rsidRPr="00513BF4">
        <w:rPr>
          <w:lang w:val="en-GB"/>
        </w:rPr>
        <w:t xml:space="preserve">Chapter 4 looks at the broader CVA response in </w:t>
      </w:r>
      <w:r w:rsidR="00E07234" w:rsidRPr="00513BF4">
        <w:rPr>
          <w:lang w:val="en-GB"/>
        </w:rPr>
        <w:t>Somalia</w:t>
      </w:r>
      <w:r w:rsidR="00186384" w:rsidRPr="00513BF4">
        <w:rPr>
          <w:lang w:val="en-GB"/>
        </w:rPr>
        <w:t xml:space="preserve"> and reviews the nutrition sensitivity of </w:t>
      </w:r>
      <w:r w:rsidR="004F2179" w:rsidRPr="00513BF4">
        <w:rPr>
          <w:lang w:val="en-GB"/>
        </w:rPr>
        <w:t>household cash transfers</w:t>
      </w:r>
      <w:r w:rsidR="00186384" w:rsidRPr="00513BF4">
        <w:rPr>
          <w:lang w:val="en-GB"/>
        </w:rPr>
        <w:t xml:space="preserve">. </w:t>
      </w:r>
      <w:r w:rsidR="004F2179" w:rsidRPr="00513BF4">
        <w:rPr>
          <w:lang w:val="en-GB"/>
        </w:rPr>
        <w:t>Chapter 5 looks at the recently Cost of the Diet analysis and discusses measures to make a nutritious diet</w:t>
      </w:r>
      <w:r w:rsidR="00601843" w:rsidRPr="00513BF4">
        <w:rPr>
          <w:rStyle w:val="FootnoteReference"/>
          <w:lang w:val="en-GB"/>
        </w:rPr>
        <w:footnoteReference w:id="2"/>
      </w:r>
      <w:r w:rsidR="004F2179" w:rsidRPr="00513BF4">
        <w:rPr>
          <w:lang w:val="en-GB"/>
        </w:rPr>
        <w:t xml:space="preserve"> more affordable. </w:t>
      </w:r>
      <w:r w:rsidR="00186384" w:rsidRPr="00513BF4">
        <w:rPr>
          <w:lang w:val="en-GB"/>
        </w:rPr>
        <w:t>Chapter</w:t>
      </w:r>
      <w:r w:rsidR="004F2179" w:rsidRPr="00513BF4">
        <w:rPr>
          <w:lang w:val="en-GB"/>
        </w:rPr>
        <w:t>s</w:t>
      </w:r>
      <w:r w:rsidR="00186384" w:rsidRPr="00513BF4">
        <w:rPr>
          <w:lang w:val="en-GB"/>
        </w:rPr>
        <w:t xml:space="preserve"> </w:t>
      </w:r>
      <w:r w:rsidR="004F2179" w:rsidRPr="00513BF4">
        <w:rPr>
          <w:lang w:val="en-GB"/>
        </w:rPr>
        <w:t>6 and 7</w:t>
      </w:r>
      <w:r w:rsidR="00186384" w:rsidRPr="00513BF4">
        <w:rPr>
          <w:lang w:val="en-GB"/>
        </w:rPr>
        <w:t xml:space="preserve"> conclude the case study and provides some recommendations for</w:t>
      </w:r>
      <w:r w:rsidR="004F2179" w:rsidRPr="00513BF4">
        <w:rPr>
          <w:lang w:val="en-GB"/>
        </w:rPr>
        <w:t xml:space="preserve"> actions</w:t>
      </w:r>
      <w:r w:rsidR="00186384" w:rsidRPr="00513BF4">
        <w:rPr>
          <w:lang w:val="en-GB"/>
        </w:rPr>
        <w:t xml:space="preserve"> next steps. </w:t>
      </w:r>
    </w:p>
    <w:p w14:paraId="551F2192" w14:textId="77777777" w:rsidR="00E91AED" w:rsidRPr="00513BF4" w:rsidRDefault="00E91AED" w:rsidP="00F906B4">
      <w:pPr>
        <w:jc w:val="both"/>
        <w:rPr>
          <w:lang w:val="en-GB"/>
        </w:rPr>
      </w:pPr>
    </w:p>
    <w:p w14:paraId="55818CFB" w14:textId="0CB6033C" w:rsidR="00124FFC" w:rsidRPr="00513BF4" w:rsidRDefault="00EE5317" w:rsidP="00F906B4">
      <w:pPr>
        <w:pStyle w:val="Heading1"/>
        <w:jc w:val="both"/>
        <w:rPr>
          <w:lang w:val="en-GB"/>
        </w:rPr>
      </w:pPr>
      <w:bookmarkStart w:id="1" w:name="_Toc46392132"/>
      <w:r w:rsidRPr="00513BF4">
        <w:rPr>
          <w:lang w:val="en-GB"/>
        </w:rPr>
        <w:t>The role of CVA in nutrition programming</w:t>
      </w:r>
      <w:bookmarkEnd w:id="1"/>
    </w:p>
    <w:p w14:paraId="3B863E0E" w14:textId="0EBE6033" w:rsidR="000304FF" w:rsidRPr="00513BF4" w:rsidRDefault="000304FF" w:rsidP="00F906B4">
      <w:pPr>
        <w:jc w:val="both"/>
        <w:rPr>
          <w:lang w:val="en-GB"/>
        </w:rPr>
      </w:pPr>
      <w:r w:rsidRPr="00513BF4">
        <w:rPr>
          <w:lang w:val="en-GB"/>
        </w:rPr>
        <w:t xml:space="preserve">In principle, CVA programmes can impact the </w:t>
      </w:r>
      <w:r w:rsidRPr="00513BF4">
        <w:rPr>
          <w:i/>
          <w:iCs/>
          <w:lang w:val="en-GB"/>
        </w:rPr>
        <w:t>underlying determinants</w:t>
      </w:r>
      <w:r w:rsidRPr="00513BF4">
        <w:rPr>
          <w:lang w:val="en-GB"/>
        </w:rPr>
        <w:t xml:space="preserve"> of maternal and child nutrition in three different ways:  </w:t>
      </w:r>
    </w:p>
    <w:p w14:paraId="280781EB" w14:textId="77BBA904" w:rsidR="000304FF" w:rsidRPr="00513BF4" w:rsidRDefault="000304FF" w:rsidP="00F906B4">
      <w:pPr>
        <w:pStyle w:val="ListParagraph"/>
        <w:numPr>
          <w:ilvl w:val="0"/>
          <w:numId w:val="22"/>
        </w:numPr>
        <w:jc w:val="both"/>
        <w:rPr>
          <w:lang w:val="en-GB"/>
        </w:rPr>
      </w:pPr>
      <w:r w:rsidRPr="00513BF4">
        <w:rPr>
          <w:lang w:val="en-GB"/>
        </w:rPr>
        <w:t xml:space="preserve">It allows households </w:t>
      </w:r>
      <w:r w:rsidR="008F5912" w:rsidRPr="00513BF4">
        <w:rPr>
          <w:lang w:val="en-GB"/>
        </w:rPr>
        <w:t xml:space="preserve">or individuals </w:t>
      </w:r>
      <w:r w:rsidRPr="00513BF4">
        <w:rPr>
          <w:lang w:val="en-GB"/>
        </w:rPr>
        <w:t>to purchase goods and access services that can have a positive impact on maternal and child nutrition. These include nutritious foods, items to prepare food, hygiene and sanitation, safe water, health services and medication, transportation, and productive inputs.</w:t>
      </w:r>
    </w:p>
    <w:p w14:paraId="430FDE40" w14:textId="69C1E3E1" w:rsidR="000304FF" w:rsidRPr="00513BF4" w:rsidRDefault="000304FF" w:rsidP="00F906B4">
      <w:pPr>
        <w:pStyle w:val="ListParagraph"/>
        <w:numPr>
          <w:ilvl w:val="0"/>
          <w:numId w:val="22"/>
        </w:numPr>
        <w:jc w:val="both"/>
        <w:rPr>
          <w:lang w:val="en-GB"/>
        </w:rPr>
      </w:pPr>
      <w:r w:rsidRPr="00513BF4">
        <w:rPr>
          <w:lang w:val="en-GB"/>
        </w:rPr>
        <w:t>If provided conditionality, CVA can promote participation in nutrition social and behavioural change communication (SBC) activities</w:t>
      </w:r>
      <w:r w:rsidR="00BA41E1" w:rsidRPr="00513BF4">
        <w:rPr>
          <w:rStyle w:val="FootnoteReference"/>
          <w:lang w:val="en-GB"/>
        </w:rPr>
        <w:footnoteReference w:id="3"/>
      </w:r>
      <w:r w:rsidRPr="00513BF4">
        <w:rPr>
          <w:lang w:val="en-GB"/>
        </w:rPr>
        <w:t xml:space="preserve"> and attendance to priority health services</w:t>
      </w:r>
      <w:r w:rsidR="00BA41E1" w:rsidRPr="00513BF4">
        <w:rPr>
          <w:rStyle w:val="FootnoteReference"/>
          <w:lang w:val="en-GB"/>
        </w:rPr>
        <w:footnoteReference w:id="4"/>
      </w:r>
      <w:r w:rsidRPr="00513BF4">
        <w:rPr>
          <w:lang w:val="en-GB"/>
        </w:rPr>
        <w:t>.</w:t>
      </w:r>
    </w:p>
    <w:p w14:paraId="52CE1AD6" w14:textId="632087F0" w:rsidR="000304FF" w:rsidRPr="00513BF4" w:rsidRDefault="000304FF" w:rsidP="00F906B4">
      <w:pPr>
        <w:pStyle w:val="ListParagraph"/>
        <w:numPr>
          <w:ilvl w:val="0"/>
          <w:numId w:val="22"/>
        </w:numPr>
        <w:jc w:val="both"/>
        <w:rPr>
          <w:lang w:val="en-GB"/>
        </w:rPr>
      </w:pPr>
      <w:r w:rsidRPr="00513BF4">
        <w:rPr>
          <w:lang w:val="en-GB"/>
        </w:rPr>
        <w:t xml:space="preserve">The temporary increase in household </w:t>
      </w:r>
      <w:r w:rsidR="002034D1" w:rsidRPr="00513BF4">
        <w:rPr>
          <w:lang w:val="en-GB"/>
        </w:rPr>
        <w:t>purchasing power</w:t>
      </w:r>
      <w:r w:rsidRPr="00513BF4">
        <w:rPr>
          <w:lang w:val="en-GB"/>
        </w:rPr>
        <w:t xml:space="preserve"> can have additional positive </w:t>
      </w:r>
      <w:r w:rsidR="002034D1" w:rsidRPr="00513BF4">
        <w:rPr>
          <w:lang w:val="en-GB"/>
        </w:rPr>
        <w:t>and sometimes</w:t>
      </w:r>
      <w:r w:rsidRPr="00513BF4">
        <w:rPr>
          <w:lang w:val="en-GB"/>
        </w:rPr>
        <w:t xml:space="preserve"> negative consequences which can impact child and maternal nutrition: Reduced or increased household tensions, reduced economic pressure within households which can increase time available for caregiving, improved decision-making power of women, improved psychological well-being of caregivers, etc. </w:t>
      </w:r>
    </w:p>
    <w:p w14:paraId="47E85890" w14:textId="6266AD67" w:rsidR="000304FF" w:rsidRPr="00513BF4" w:rsidRDefault="000304FF" w:rsidP="00F906B4">
      <w:pPr>
        <w:jc w:val="both"/>
        <w:rPr>
          <w:lang w:val="en-GB"/>
        </w:rPr>
      </w:pPr>
      <w:r w:rsidRPr="00513BF4">
        <w:rPr>
          <w:lang w:val="en-GB"/>
        </w:rPr>
        <w:t xml:space="preserve">CVA can by no means address all barriers to adequate food, feeding and healthy environment. CVA is suited to address economic demand side barriers to adequate nutrition and relies upon functioning and accessible systems (e.g. food markets or health services) on the supply side to be effective (see </w:t>
      </w:r>
      <w:r w:rsidR="00B2471A" w:rsidRPr="00513BF4">
        <w:rPr>
          <w:lang w:val="en-GB"/>
        </w:rPr>
        <w:t>A</w:t>
      </w:r>
      <w:r w:rsidRPr="00513BF4">
        <w:rPr>
          <w:lang w:val="en-GB"/>
        </w:rPr>
        <w:t xml:space="preserve">nnex 1 for an overview on demand and supply side barriers to adequate nutrition). </w:t>
      </w:r>
    </w:p>
    <w:p w14:paraId="76B5CAED" w14:textId="172631DE" w:rsidR="00B2471A" w:rsidRPr="00513BF4" w:rsidRDefault="00857F4F" w:rsidP="00F906B4">
      <w:pPr>
        <w:jc w:val="both"/>
        <w:rPr>
          <w:lang w:val="en-GB"/>
        </w:rPr>
      </w:pPr>
      <w:r w:rsidRPr="00513BF4">
        <w:rPr>
          <w:lang w:val="en-GB"/>
        </w:rPr>
        <w:t xml:space="preserve">The evidence base </w:t>
      </w:r>
      <w:r w:rsidR="00B2471A" w:rsidRPr="00513BF4">
        <w:rPr>
          <w:lang w:val="en-GB"/>
        </w:rPr>
        <w:t xml:space="preserve">for CVA to address the underlying and immediate determinants for adequate nutrition and to improve nutrition status of children and women is summarized in Annex 2. Based on the expanding evidence base, there is today a broad consensus within the </w:t>
      </w:r>
      <w:r w:rsidR="008556A0" w:rsidRPr="00513BF4">
        <w:rPr>
          <w:lang w:val="en-GB"/>
        </w:rPr>
        <w:t xml:space="preserve">nutrition </w:t>
      </w:r>
      <w:r w:rsidR="00B2471A" w:rsidRPr="00513BF4">
        <w:rPr>
          <w:lang w:val="en-GB"/>
        </w:rPr>
        <w:t>sector that:</w:t>
      </w:r>
    </w:p>
    <w:p w14:paraId="5044B3E2" w14:textId="2C107904" w:rsidR="00B2471A" w:rsidRPr="00513BF4" w:rsidRDefault="00B2471A" w:rsidP="00F906B4">
      <w:pPr>
        <w:pStyle w:val="ListParagraph"/>
        <w:numPr>
          <w:ilvl w:val="0"/>
          <w:numId w:val="23"/>
        </w:numPr>
        <w:jc w:val="both"/>
        <w:rPr>
          <w:lang w:val="en-GB"/>
        </w:rPr>
      </w:pPr>
      <w:r w:rsidRPr="00513BF4">
        <w:rPr>
          <w:lang w:val="en-GB"/>
        </w:rPr>
        <w:t xml:space="preserve">CVA alone is in most circumstances not </w:t>
      </w:r>
      <w:proofErr w:type="gramStart"/>
      <w:r w:rsidRPr="00513BF4">
        <w:rPr>
          <w:lang w:val="en-GB"/>
        </w:rPr>
        <w:t>sufficient</w:t>
      </w:r>
      <w:proofErr w:type="gramEnd"/>
      <w:r w:rsidRPr="00513BF4">
        <w:rPr>
          <w:lang w:val="en-GB"/>
        </w:rPr>
        <w:t xml:space="preserve"> to impact nutrition outcomes</w:t>
      </w:r>
    </w:p>
    <w:p w14:paraId="61411E7D" w14:textId="234557D4" w:rsidR="00B2471A" w:rsidRPr="00513BF4" w:rsidRDefault="00B2471A" w:rsidP="00F906B4">
      <w:pPr>
        <w:pStyle w:val="ListParagraph"/>
        <w:numPr>
          <w:ilvl w:val="0"/>
          <w:numId w:val="23"/>
        </w:numPr>
        <w:jc w:val="both"/>
        <w:rPr>
          <w:lang w:val="en-GB"/>
        </w:rPr>
      </w:pPr>
      <w:r w:rsidRPr="00513BF4">
        <w:rPr>
          <w:lang w:val="en-GB"/>
        </w:rPr>
        <w:lastRenderedPageBreak/>
        <w:t>CVA is most effective when complemented or integrated with other nutrition-specific and nutrition-sensitive interventions</w:t>
      </w:r>
    </w:p>
    <w:p w14:paraId="0DBFAC6C" w14:textId="67899E7D" w:rsidR="00CE0A84" w:rsidRPr="00513BF4" w:rsidRDefault="008E655E" w:rsidP="00F906B4">
      <w:pPr>
        <w:jc w:val="both"/>
        <w:rPr>
          <w:lang w:val="en-GB"/>
        </w:rPr>
      </w:pPr>
      <w:r w:rsidRPr="00513BF4">
        <w:rPr>
          <w:lang w:val="en-GB"/>
        </w:rPr>
        <w:t>Table 2 below provides and overview on the different components of a nutrition response at household or individual level, the traditional response modalities used and the potential for CVA to replace or complement the traditional response modality. It is important to note that the interventions described in the table and the respective modalities can be combined in multiple ways. SBC promoting maternal, infant and young child nutrition is a cross-cutting intervention that can be integrated with any of the above response options.</w:t>
      </w:r>
    </w:p>
    <w:tbl>
      <w:tblPr>
        <w:tblStyle w:val="TableGrid"/>
        <w:tblW w:w="9985" w:type="dxa"/>
        <w:tblLook w:val="04A0" w:firstRow="1" w:lastRow="0" w:firstColumn="1" w:lastColumn="0" w:noHBand="0" w:noVBand="1"/>
      </w:tblPr>
      <w:tblGrid>
        <w:gridCol w:w="1749"/>
        <w:gridCol w:w="2026"/>
        <w:gridCol w:w="2700"/>
        <w:gridCol w:w="3510"/>
      </w:tblGrid>
      <w:tr w:rsidR="00071A01" w:rsidRPr="00513BF4" w14:paraId="5B99F290" w14:textId="77777777" w:rsidTr="00CF3A25">
        <w:tc>
          <w:tcPr>
            <w:tcW w:w="1749" w:type="dxa"/>
            <w:tcBorders>
              <w:bottom w:val="single" w:sz="4" w:space="0" w:color="000000" w:themeColor="text1"/>
            </w:tcBorders>
            <w:shd w:val="clear" w:color="auto" w:fill="B4C6E7" w:themeFill="accent1" w:themeFillTint="66"/>
          </w:tcPr>
          <w:p w14:paraId="0ECBA8C3" w14:textId="77777777" w:rsidR="00071A01" w:rsidRPr="00513BF4" w:rsidRDefault="00071A01" w:rsidP="00F906B4">
            <w:pPr>
              <w:jc w:val="both"/>
              <w:rPr>
                <w:b/>
                <w:sz w:val="17"/>
                <w:szCs w:val="17"/>
                <w:lang w:val="en-GB"/>
              </w:rPr>
            </w:pPr>
            <w:r w:rsidRPr="00513BF4">
              <w:rPr>
                <w:rFonts w:ascii="Calibri" w:eastAsia="Times New Roman" w:hAnsi="Calibri" w:cs="Calibri"/>
                <w:b/>
                <w:color w:val="000000"/>
                <w:sz w:val="17"/>
                <w:szCs w:val="17"/>
                <w:lang w:val="en-GB"/>
              </w:rPr>
              <w:t xml:space="preserve">Components of nutrition response </w:t>
            </w:r>
          </w:p>
        </w:tc>
        <w:tc>
          <w:tcPr>
            <w:tcW w:w="2026" w:type="dxa"/>
            <w:tcBorders>
              <w:bottom w:val="single" w:sz="4" w:space="0" w:color="000000" w:themeColor="text1"/>
            </w:tcBorders>
            <w:shd w:val="clear" w:color="auto" w:fill="B4C6E7" w:themeFill="accent1" w:themeFillTint="66"/>
          </w:tcPr>
          <w:p w14:paraId="36160985" w14:textId="77777777" w:rsidR="00071A01" w:rsidRPr="00513BF4" w:rsidRDefault="00071A01" w:rsidP="00F906B4">
            <w:pPr>
              <w:jc w:val="both"/>
              <w:rPr>
                <w:b/>
                <w:sz w:val="17"/>
                <w:szCs w:val="17"/>
                <w:lang w:val="en-GB"/>
              </w:rPr>
            </w:pPr>
            <w:r w:rsidRPr="00513BF4">
              <w:rPr>
                <w:rFonts w:ascii="Calibri" w:eastAsia="Times New Roman" w:hAnsi="Calibri" w:cs="Calibri"/>
                <w:b/>
                <w:color w:val="000000"/>
                <w:sz w:val="17"/>
                <w:szCs w:val="17"/>
                <w:lang w:val="en-GB"/>
              </w:rPr>
              <w:t>Traditional response modality</w:t>
            </w:r>
          </w:p>
        </w:tc>
        <w:tc>
          <w:tcPr>
            <w:tcW w:w="2700" w:type="dxa"/>
            <w:tcBorders>
              <w:bottom w:val="single" w:sz="4" w:space="0" w:color="000000" w:themeColor="text1"/>
            </w:tcBorders>
            <w:shd w:val="clear" w:color="auto" w:fill="B4C6E7" w:themeFill="accent1" w:themeFillTint="66"/>
          </w:tcPr>
          <w:p w14:paraId="06781481" w14:textId="77777777" w:rsidR="00071A01" w:rsidRPr="00513BF4" w:rsidRDefault="00071A01" w:rsidP="00F906B4">
            <w:pPr>
              <w:jc w:val="both"/>
              <w:rPr>
                <w:b/>
                <w:sz w:val="17"/>
                <w:szCs w:val="17"/>
                <w:lang w:val="en-GB"/>
              </w:rPr>
            </w:pPr>
            <w:r w:rsidRPr="00513BF4">
              <w:rPr>
                <w:b/>
                <w:sz w:val="17"/>
                <w:szCs w:val="17"/>
                <w:lang w:val="en-GB"/>
              </w:rPr>
              <w:t>Potential role of CVA</w:t>
            </w:r>
          </w:p>
        </w:tc>
        <w:tc>
          <w:tcPr>
            <w:tcW w:w="3510" w:type="dxa"/>
            <w:tcBorders>
              <w:bottom w:val="single" w:sz="4" w:space="0" w:color="000000" w:themeColor="text1"/>
            </w:tcBorders>
            <w:shd w:val="clear" w:color="auto" w:fill="B4C6E7" w:themeFill="accent1" w:themeFillTint="66"/>
          </w:tcPr>
          <w:p w14:paraId="47B73C87" w14:textId="77777777" w:rsidR="00071A01" w:rsidRPr="00513BF4" w:rsidRDefault="00071A01" w:rsidP="00F906B4">
            <w:pPr>
              <w:jc w:val="both"/>
              <w:rPr>
                <w:b/>
                <w:sz w:val="17"/>
                <w:szCs w:val="17"/>
                <w:lang w:val="en-GB"/>
              </w:rPr>
            </w:pPr>
            <w:r w:rsidRPr="00513BF4">
              <w:rPr>
                <w:b/>
                <w:sz w:val="17"/>
                <w:szCs w:val="17"/>
                <w:lang w:val="en-GB"/>
              </w:rPr>
              <w:t>Primary objective of CVA</w:t>
            </w:r>
            <w:r w:rsidRPr="00513BF4">
              <w:rPr>
                <w:rStyle w:val="FootnoteReference"/>
                <w:sz w:val="17"/>
                <w:szCs w:val="17"/>
                <w:lang w:val="en-GB"/>
              </w:rPr>
              <w:footnoteReference w:id="5"/>
            </w:r>
          </w:p>
        </w:tc>
      </w:tr>
      <w:tr w:rsidR="00071A01" w:rsidRPr="00513BF4" w14:paraId="38349684" w14:textId="77777777" w:rsidTr="00CF3A25">
        <w:tc>
          <w:tcPr>
            <w:tcW w:w="9985" w:type="dxa"/>
            <w:gridSpan w:val="4"/>
            <w:shd w:val="clear" w:color="auto" w:fill="FFE599" w:themeFill="accent4" w:themeFillTint="66"/>
          </w:tcPr>
          <w:p w14:paraId="3BFB7141" w14:textId="77777777" w:rsidR="00071A01" w:rsidRPr="00513BF4" w:rsidRDefault="00071A01" w:rsidP="00F906B4">
            <w:pPr>
              <w:jc w:val="both"/>
              <w:rPr>
                <w:b/>
                <w:i/>
                <w:iCs/>
                <w:sz w:val="17"/>
                <w:szCs w:val="17"/>
                <w:lang w:val="en-GB"/>
              </w:rPr>
            </w:pPr>
            <w:r w:rsidRPr="00513BF4">
              <w:rPr>
                <w:b/>
                <w:i/>
                <w:iCs/>
                <w:sz w:val="17"/>
                <w:szCs w:val="17"/>
                <w:lang w:val="en-GB"/>
              </w:rPr>
              <w:t>Nutrition sensitive response options</w:t>
            </w:r>
          </w:p>
        </w:tc>
      </w:tr>
      <w:tr w:rsidR="00071A01" w:rsidRPr="00513BF4" w14:paraId="0CF00395" w14:textId="77777777" w:rsidTr="00CF3A25">
        <w:tc>
          <w:tcPr>
            <w:tcW w:w="1749" w:type="dxa"/>
            <w:tcBorders>
              <w:bottom w:val="single" w:sz="4" w:space="0" w:color="000000" w:themeColor="text1"/>
            </w:tcBorders>
            <w:shd w:val="clear" w:color="auto" w:fill="FFE599" w:themeFill="accent4" w:themeFillTint="66"/>
          </w:tcPr>
          <w:p w14:paraId="547F1FDE" w14:textId="77777777" w:rsidR="00071A01" w:rsidRPr="00513BF4" w:rsidRDefault="00071A01" w:rsidP="00F906B4">
            <w:pPr>
              <w:jc w:val="both"/>
              <w:rPr>
                <w:rFonts w:ascii="Calibri" w:eastAsia="Times New Roman" w:hAnsi="Calibri" w:cs="Calibri"/>
                <w:color w:val="000000"/>
                <w:sz w:val="17"/>
                <w:szCs w:val="17"/>
                <w:lang w:val="en-GB"/>
              </w:rPr>
            </w:pPr>
            <w:r w:rsidRPr="00513BF4">
              <w:rPr>
                <w:rFonts w:ascii="Calibri" w:eastAsia="Times New Roman" w:hAnsi="Calibri" w:cs="Calibri"/>
                <w:color w:val="000000"/>
                <w:sz w:val="17"/>
                <w:szCs w:val="17"/>
                <w:lang w:val="en-GB"/>
              </w:rPr>
              <w:t xml:space="preserve">Household assistance </w:t>
            </w:r>
          </w:p>
          <w:p w14:paraId="2BF6604A" w14:textId="77777777" w:rsidR="00071A01" w:rsidRPr="00513BF4" w:rsidRDefault="00071A01" w:rsidP="00F906B4">
            <w:pPr>
              <w:jc w:val="both"/>
              <w:rPr>
                <w:rFonts w:ascii="Calibri" w:eastAsia="Times New Roman" w:hAnsi="Calibri" w:cs="Calibri"/>
                <w:color w:val="000000"/>
                <w:sz w:val="17"/>
                <w:szCs w:val="17"/>
                <w:lang w:val="en-GB"/>
              </w:rPr>
            </w:pPr>
          </w:p>
          <w:p w14:paraId="25D8CC27" w14:textId="77777777" w:rsidR="00071A01" w:rsidRPr="00513BF4" w:rsidRDefault="00071A01" w:rsidP="00F906B4">
            <w:pPr>
              <w:jc w:val="both"/>
              <w:rPr>
                <w:rFonts w:ascii="Calibri" w:eastAsia="Times New Roman" w:hAnsi="Calibri" w:cs="Calibri"/>
                <w:color w:val="000000"/>
                <w:sz w:val="17"/>
                <w:szCs w:val="17"/>
                <w:lang w:val="en-GB"/>
              </w:rPr>
            </w:pPr>
          </w:p>
          <w:p w14:paraId="091CC2C5" w14:textId="77777777" w:rsidR="00071A01" w:rsidRPr="00513BF4" w:rsidRDefault="00071A01" w:rsidP="00F906B4">
            <w:pPr>
              <w:jc w:val="both"/>
              <w:rPr>
                <w:rFonts w:ascii="Calibri" w:eastAsia="Times New Roman" w:hAnsi="Calibri" w:cs="Calibri"/>
                <w:i/>
                <w:iCs/>
                <w:color w:val="000000"/>
                <w:sz w:val="17"/>
                <w:szCs w:val="17"/>
                <w:lang w:val="en-GB"/>
              </w:rPr>
            </w:pPr>
            <w:r w:rsidRPr="00513BF4">
              <w:rPr>
                <w:rFonts w:ascii="Calibri" w:eastAsia="Times New Roman" w:hAnsi="Calibri" w:cs="Calibri"/>
                <w:i/>
                <w:iCs/>
                <w:color w:val="000000"/>
                <w:sz w:val="17"/>
                <w:szCs w:val="17"/>
                <w:lang w:val="en-GB"/>
              </w:rPr>
              <w:t>Can complement any nutrition-specific response option</w:t>
            </w:r>
          </w:p>
        </w:tc>
        <w:tc>
          <w:tcPr>
            <w:tcW w:w="2026" w:type="dxa"/>
          </w:tcPr>
          <w:p w14:paraId="2F68C7CC" w14:textId="77777777" w:rsidR="00071A01" w:rsidRPr="00513BF4" w:rsidRDefault="00071A01" w:rsidP="00F906B4">
            <w:pPr>
              <w:jc w:val="both"/>
              <w:rPr>
                <w:rFonts w:ascii="Calibri" w:eastAsia="Times New Roman" w:hAnsi="Calibri" w:cs="Calibri"/>
                <w:color w:val="000000"/>
                <w:sz w:val="17"/>
                <w:szCs w:val="17"/>
                <w:lang w:val="en-GB"/>
              </w:rPr>
            </w:pPr>
            <w:r w:rsidRPr="00513BF4">
              <w:rPr>
                <w:rFonts w:ascii="Calibri" w:eastAsia="Times New Roman" w:hAnsi="Calibri" w:cs="Calibri"/>
                <w:color w:val="000000"/>
                <w:sz w:val="17"/>
                <w:szCs w:val="17"/>
                <w:lang w:val="en-GB"/>
              </w:rPr>
              <w:t xml:space="preserve">In-kind general food distribution (GFD) </w:t>
            </w:r>
          </w:p>
          <w:p w14:paraId="61C5BAD8" w14:textId="77777777" w:rsidR="00071A01" w:rsidRPr="00513BF4" w:rsidRDefault="00071A01" w:rsidP="00F906B4">
            <w:pPr>
              <w:jc w:val="both"/>
              <w:rPr>
                <w:rFonts w:ascii="Calibri" w:eastAsia="Times New Roman" w:hAnsi="Calibri" w:cs="Calibri"/>
                <w:color w:val="000000"/>
                <w:sz w:val="17"/>
                <w:szCs w:val="17"/>
                <w:lang w:val="en-GB"/>
              </w:rPr>
            </w:pPr>
          </w:p>
          <w:p w14:paraId="799DD339" w14:textId="77777777" w:rsidR="00071A01" w:rsidRPr="00513BF4" w:rsidRDefault="00071A01" w:rsidP="00F906B4">
            <w:pPr>
              <w:jc w:val="both"/>
              <w:rPr>
                <w:rFonts w:ascii="Calibri" w:eastAsia="Times New Roman" w:hAnsi="Calibri" w:cs="Calibri"/>
                <w:color w:val="000000"/>
                <w:sz w:val="17"/>
                <w:szCs w:val="17"/>
                <w:lang w:val="en-GB"/>
              </w:rPr>
            </w:pPr>
            <w:r w:rsidRPr="00513BF4">
              <w:rPr>
                <w:rFonts w:ascii="Calibri" w:eastAsia="Times New Roman" w:hAnsi="Calibri" w:cs="Calibri"/>
                <w:color w:val="000000"/>
                <w:sz w:val="17"/>
                <w:szCs w:val="17"/>
                <w:lang w:val="en-GB"/>
              </w:rPr>
              <w:t>Non-food item distribution (NFI)</w:t>
            </w:r>
          </w:p>
        </w:tc>
        <w:tc>
          <w:tcPr>
            <w:tcW w:w="2700" w:type="dxa"/>
          </w:tcPr>
          <w:p w14:paraId="36BD1AFB" w14:textId="77777777" w:rsidR="00071A01" w:rsidRPr="00513BF4" w:rsidRDefault="00071A01" w:rsidP="00F906B4">
            <w:pPr>
              <w:jc w:val="both"/>
              <w:rPr>
                <w:sz w:val="17"/>
                <w:szCs w:val="17"/>
                <w:lang w:val="en-GB"/>
              </w:rPr>
            </w:pPr>
            <w:r w:rsidRPr="00513BF4">
              <w:rPr>
                <w:b/>
                <w:sz w:val="17"/>
                <w:szCs w:val="17"/>
                <w:lang w:val="en-GB"/>
              </w:rPr>
              <w:t>Replace</w:t>
            </w:r>
            <w:r w:rsidRPr="00513BF4">
              <w:rPr>
                <w:sz w:val="17"/>
                <w:szCs w:val="17"/>
                <w:lang w:val="en-GB"/>
              </w:rPr>
              <w:t xml:space="preserve"> in-kind assistance through household CVA</w:t>
            </w:r>
          </w:p>
        </w:tc>
        <w:tc>
          <w:tcPr>
            <w:tcW w:w="3510" w:type="dxa"/>
          </w:tcPr>
          <w:p w14:paraId="0FC0F0F8" w14:textId="77777777" w:rsidR="00071A01" w:rsidRPr="00513BF4" w:rsidRDefault="00071A01" w:rsidP="00F906B4">
            <w:pPr>
              <w:pStyle w:val="ListParagraph"/>
              <w:numPr>
                <w:ilvl w:val="0"/>
                <w:numId w:val="11"/>
              </w:numPr>
              <w:jc w:val="both"/>
              <w:rPr>
                <w:sz w:val="17"/>
                <w:szCs w:val="17"/>
                <w:lang w:val="en-GB"/>
              </w:rPr>
            </w:pPr>
            <w:r w:rsidRPr="00513BF4">
              <w:rPr>
                <w:sz w:val="17"/>
                <w:szCs w:val="17"/>
                <w:lang w:val="en-GB"/>
              </w:rPr>
              <w:t>Improve household food security and dietary diversity</w:t>
            </w:r>
          </w:p>
          <w:p w14:paraId="77E90F24" w14:textId="77777777" w:rsidR="00071A01" w:rsidRPr="00513BF4" w:rsidRDefault="00071A01" w:rsidP="00F906B4">
            <w:pPr>
              <w:pStyle w:val="ListParagraph"/>
              <w:numPr>
                <w:ilvl w:val="0"/>
                <w:numId w:val="11"/>
              </w:numPr>
              <w:jc w:val="both"/>
              <w:rPr>
                <w:sz w:val="17"/>
                <w:szCs w:val="17"/>
                <w:lang w:val="en-GB"/>
              </w:rPr>
            </w:pPr>
            <w:r w:rsidRPr="00513BF4">
              <w:rPr>
                <w:sz w:val="17"/>
                <w:szCs w:val="17"/>
                <w:lang w:val="en-GB"/>
              </w:rPr>
              <w:t>Protect nutritional status</w:t>
            </w:r>
          </w:p>
          <w:p w14:paraId="42F6C8FF" w14:textId="77777777" w:rsidR="00071A01" w:rsidRPr="00513BF4" w:rsidRDefault="00071A01" w:rsidP="00F906B4">
            <w:pPr>
              <w:pStyle w:val="ListParagraph"/>
              <w:numPr>
                <w:ilvl w:val="0"/>
                <w:numId w:val="34"/>
              </w:numPr>
              <w:jc w:val="both"/>
              <w:rPr>
                <w:sz w:val="17"/>
                <w:szCs w:val="17"/>
                <w:lang w:val="en-GB"/>
              </w:rPr>
            </w:pPr>
            <w:r w:rsidRPr="00513BF4">
              <w:rPr>
                <w:sz w:val="17"/>
                <w:szCs w:val="17"/>
                <w:lang w:val="en-GB"/>
              </w:rPr>
              <w:t>If paired with individual feeding: Reduce sharing of SNF</w:t>
            </w:r>
          </w:p>
          <w:p w14:paraId="1089AE4A" w14:textId="77777777" w:rsidR="00071A01" w:rsidRPr="00513BF4" w:rsidRDefault="00071A01" w:rsidP="00F906B4">
            <w:pPr>
              <w:pStyle w:val="ListParagraph"/>
              <w:numPr>
                <w:ilvl w:val="0"/>
                <w:numId w:val="11"/>
              </w:numPr>
              <w:jc w:val="both"/>
              <w:rPr>
                <w:sz w:val="17"/>
                <w:szCs w:val="17"/>
                <w:lang w:val="en-GB"/>
              </w:rPr>
            </w:pPr>
            <w:r w:rsidRPr="00513BF4">
              <w:rPr>
                <w:sz w:val="17"/>
                <w:szCs w:val="17"/>
                <w:lang w:val="en-GB"/>
              </w:rPr>
              <w:t xml:space="preserve">If paired with treatment: Reduce defaulting, non-response to treatment and relapse. </w:t>
            </w:r>
          </w:p>
        </w:tc>
      </w:tr>
      <w:tr w:rsidR="00071A01" w:rsidRPr="00513BF4" w14:paraId="1BD617E0" w14:textId="77777777" w:rsidTr="00CF3A25">
        <w:tc>
          <w:tcPr>
            <w:tcW w:w="1749" w:type="dxa"/>
            <w:tcBorders>
              <w:bottom w:val="single" w:sz="4" w:space="0" w:color="000000" w:themeColor="text1"/>
            </w:tcBorders>
            <w:shd w:val="clear" w:color="auto" w:fill="FFE599" w:themeFill="accent4" w:themeFillTint="66"/>
          </w:tcPr>
          <w:p w14:paraId="6EC63588" w14:textId="77777777" w:rsidR="00071A01" w:rsidRPr="00513BF4" w:rsidRDefault="00071A01" w:rsidP="00F906B4">
            <w:pPr>
              <w:jc w:val="both"/>
              <w:rPr>
                <w:rFonts w:ascii="Calibri" w:eastAsia="Times New Roman" w:hAnsi="Calibri" w:cs="Calibri"/>
                <w:color w:val="000000"/>
                <w:sz w:val="17"/>
                <w:szCs w:val="17"/>
                <w:lang w:val="en-GB"/>
              </w:rPr>
            </w:pPr>
            <w:r w:rsidRPr="00513BF4">
              <w:rPr>
                <w:rFonts w:ascii="Calibri" w:eastAsia="Times New Roman" w:hAnsi="Calibri" w:cs="Calibri"/>
                <w:color w:val="000000"/>
                <w:sz w:val="17"/>
                <w:szCs w:val="17"/>
                <w:lang w:val="en-GB"/>
              </w:rPr>
              <w:t>Livelihood support</w:t>
            </w:r>
          </w:p>
        </w:tc>
        <w:tc>
          <w:tcPr>
            <w:tcW w:w="2026" w:type="dxa"/>
          </w:tcPr>
          <w:p w14:paraId="45008A68" w14:textId="780F4BBA" w:rsidR="00071A01" w:rsidRPr="00513BF4" w:rsidRDefault="00071A01" w:rsidP="00F906B4">
            <w:pPr>
              <w:jc w:val="both"/>
              <w:rPr>
                <w:rFonts w:ascii="Calibri" w:eastAsia="Times New Roman" w:hAnsi="Calibri" w:cs="Calibri"/>
                <w:color w:val="000000"/>
                <w:sz w:val="17"/>
                <w:szCs w:val="17"/>
                <w:lang w:val="en-GB"/>
              </w:rPr>
            </w:pPr>
            <w:r w:rsidRPr="00513BF4">
              <w:rPr>
                <w:rFonts w:ascii="Calibri" w:eastAsia="Times New Roman" w:hAnsi="Calibri" w:cs="Calibri"/>
                <w:color w:val="000000"/>
                <w:sz w:val="17"/>
                <w:szCs w:val="17"/>
                <w:lang w:val="en-GB"/>
              </w:rPr>
              <w:t>Cash grants or</w:t>
            </w:r>
          </w:p>
          <w:p w14:paraId="40CA961E" w14:textId="41176D4E" w:rsidR="00071A01" w:rsidRPr="00513BF4" w:rsidRDefault="00071A01" w:rsidP="00F906B4">
            <w:pPr>
              <w:jc w:val="both"/>
              <w:rPr>
                <w:rFonts w:ascii="Calibri" w:eastAsia="Times New Roman" w:hAnsi="Calibri" w:cs="Calibri"/>
                <w:color w:val="000000"/>
                <w:sz w:val="17"/>
                <w:szCs w:val="17"/>
                <w:lang w:val="en-GB"/>
              </w:rPr>
            </w:pPr>
            <w:r w:rsidRPr="00513BF4">
              <w:rPr>
                <w:rFonts w:ascii="Calibri" w:eastAsia="Times New Roman" w:hAnsi="Calibri" w:cs="Calibri"/>
                <w:color w:val="000000"/>
                <w:sz w:val="17"/>
                <w:szCs w:val="17"/>
                <w:lang w:val="en-GB"/>
              </w:rPr>
              <w:t>in-kind livelihood inputs (seeds, tools, etc.)</w:t>
            </w:r>
          </w:p>
        </w:tc>
        <w:tc>
          <w:tcPr>
            <w:tcW w:w="2700" w:type="dxa"/>
          </w:tcPr>
          <w:p w14:paraId="36EDCAAD" w14:textId="77777777" w:rsidR="00071A01" w:rsidRPr="00513BF4" w:rsidRDefault="00071A01" w:rsidP="00F906B4">
            <w:pPr>
              <w:jc w:val="both"/>
              <w:rPr>
                <w:bCs/>
                <w:sz w:val="17"/>
                <w:szCs w:val="17"/>
                <w:lang w:val="en-GB"/>
              </w:rPr>
            </w:pPr>
            <w:r w:rsidRPr="00513BF4">
              <w:rPr>
                <w:bCs/>
                <w:sz w:val="17"/>
                <w:szCs w:val="17"/>
                <w:lang w:val="en-GB"/>
              </w:rPr>
              <w:t>Cash grants and vouchers for productive inputs commonly used in livelihood support interventions</w:t>
            </w:r>
          </w:p>
        </w:tc>
        <w:tc>
          <w:tcPr>
            <w:tcW w:w="3510" w:type="dxa"/>
          </w:tcPr>
          <w:p w14:paraId="5B851727" w14:textId="77777777" w:rsidR="00071A01" w:rsidRPr="00513BF4" w:rsidRDefault="00071A01" w:rsidP="00F906B4">
            <w:pPr>
              <w:pStyle w:val="ListParagraph"/>
              <w:numPr>
                <w:ilvl w:val="0"/>
                <w:numId w:val="11"/>
              </w:numPr>
              <w:jc w:val="both"/>
              <w:rPr>
                <w:sz w:val="17"/>
                <w:szCs w:val="17"/>
                <w:lang w:val="en-GB"/>
              </w:rPr>
            </w:pPr>
            <w:r w:rsidRPr="00513BF4">
              <w:rPr>
                <w:sz w:val="17"/>
                <w:szCs w:val="17"/>
                <w:lang w:val="en-GB"/>
              </w:rPr>
              <w:t>Enhance food production and/or income generation at community or household level</w:t>
            </w:r>
          </w:p>
        </w:tc>
      </w:tr>
      <w:tr w:rsidR="00071A01" w:rsidRPr="00513BF4" w14:paraId="6CDF3797" w14:textId="77777777" w:rsidTr="00CF3A25">
        <w:tc>
          <w:tcPr>
            <w:tcW w:w="9985" w:type="dxa"/>
            <w:gridSpan w:val="4"/>
            <w:shd w:val="clear" w:color="auto" w:fill="C5E0B3" w:themeFill="accent6" w:themeFillTint="66"/>
          </w:tcPr>
          <w:p w14:paraId="7F5EA4A5" w14:textId="77777777" w:rsidR="00071A01" w:rsidRPr="00513BF4" w:rsidRDefault="00071A01" w:rsidP="00F906B4">
            <w:pPr>
              <w:jc w:val="both"/>
              <w:rPr>
                <w:b/>
                <w:i/>
                <w:iCs/>
                <w:sz w:val="17"/>
                <w:szCs w:val="17"/>
                <w:lang w:val="en-GB"/>
              </w:rPr>
            </w:pPr>
            <w:r w:rsidRPr="00513BF4">
              <w:rPr>
                <w:b/>
                <w:i/>
                <w:iCs/>
                <w:sz w:val="17"/>
                <w:szCs w:val="17"/>
                <w:lang w:val="en-GB"/>
              </w:rPr>
              <w:t>Nutrition-specific response options aimed at preventing malnutrition</w:t>
            </w:r>
          </w:p>
        </w:tc>
      </w:tr>
      <w:tr w:rsidR="00071A01" w:rsidRPr="00513BF4" w14:paraId="62410A8C" w14:textId="77777777" w:rsidTr="00CF3A25">
        <w:tc>
          <w:tcPr>
            <w:tcW w:w="1749" w:type="dxa"/>
            <w:tcBorders>
              <w:bottom w:val="single" w:sz="4" w:space="0" w:color="auto"/>
            </w:tcBorders>
            <w:shd w:val="clear" w:color="auto" w:fill="C5E0B3" w:themeFill="accent6" w:themeFillTint="66"/>
          </w:tcPr>
          <w:p w14:paraId="4A647A31" w14:textId="77777777" w:rsidR="00071A01" w:rsidRPr="00513BF4" w:rsidRDefault="00071A01" w:rsidP="00F906B4">
            <w:pPr>
              <w:jc w:val="both"/>
              <w:rPr>
                <w:sz w:val="17"/>
                <w:szCs w:val="17"/>
                <w:lang w:val="en-GB"/>
              </w:rPr>
            </w:pPr>
            <w:r w:rsidRPr="00513BF4">
              <w:rPr>
                <w:rFonts w:ascii="Calibri" w:eastAsia="Times New Roman" w:hAnsi="Calibri" w:cs="Calibri"/>
                <w:color w:val="000000"/>
                <w:sz w:val="17"/>
                <w:szCs w:val="17"/>
                <w:lang w:val="en-GB"/>
              </w:rPr>
              <w:t>IYCF through social and behavioural change interventions</w:t>
            </w:r>
          </w:p>
        </w:tc>
        <w:tc>
          <w:tcPr>
            <w:tcW w:w="2026" w:type="dxa"/>
          </w:tcPr>
          <w:p w14:paraId="0BB077A8" w14:textId="77777777" w:rsidR="00071A01" w:rsidRPr="00513BF4" w:rsidRDefault="00071A01" w:rsidP="00F906B4">
            <w:pPr>
              <w:jc w:val="both"/>
              <w:rPr>
                <w:sz w:val="17"/>
                <w:szCs w:val="17"/>
                <w:lang w:val="en-GB"/>
              </w:rPr>
            </w:pPr>
            <w:r w:rsidRPr="00513BF4">
              <w:rPr>
                <w:rFonts w:ascii="Calibri" w:eastAsia="Times New Roman" w:hAnsi="Calibri" w:cs="Calibri"/>
                <w:color w:val="000000"/>
                <w:sz w:val="17"/>
                <w:szCs w:val="17"/>
                <w:lang w:val="en-GB"/>
              </w:rPr>
              <w:t>Communication and counselling services</w:t>
            </w:r>
          </w:p>
        </w:tc>
        <w:tc>
          <w:tcPr>
            <w:tcW w:w="2700" w:type="dxa"/>
          </w:tcPr>
          <w:p w14:paraId="0BEB10F2" w14:textId="77777777" w:rsidR="00071A01" w:rsidRPr="00513BF4" w:rsidRDefault="00071A01" w:rsidP="00F906B4">
            <w:pPr>
              <w:jc w:val="both"/>
              <w:rPr>
                <w:sz w:val="17"/>
                <w:szCs w:val="17"/>
                <w:lang w:val="en-GB"/>
              </w:rPr>
            </w:pPr>
            <w:r w:rsidRPr="00513BF4">
              <w:rPr>
                <w:sz w:val="17"/>
                <w:szCs w:val="17"/>
                <w:lang w:val="en-GB"/>
              </w:rPr>
              <w:t xml:space="preserve">CVA can be provided </w:t>
            </w:r>
            <w:r w:rsidRPr="00513BF4">
              <w:rPr>
                <w:b/>
                <w:bCs/>
                <w:sz w:val="17"/>
                <w:szCs w:val="17"/>
                <w:lang w:val="en-GB"/>
              </w:rPr>
              <w:t>conditional</w:t>
            </w:r>
            <w:r w:rsidRPr="00513BF4">
              <w:rPr>
                <w:sz w:val="17"/>
                <w:szCs w:val="17"/>
                <w:lang w:val="en-GB"/>
              </w:rPr>
              <w:t xml:space="preserve"> on participation in SBC activities</w:t>
            </w:r>
          </w:p>
          <w:p w14:paraId="53F5CE22" w14:textId="77777777" w:rsidR="00071A01" w:rsidRPr="00513BF4" w:rsidRDefault="00071A01" w:rsidP="00F906B4">
            <w:pPr>
              <w:jc w:val="both"/>
              <w:rPr>
                <w:sz w:val="17"/>
                <w:szCs w:val="17"/>
                <w:lang w:val="en-GB"/>
              </w:rPr>
            </w:pPr>
            <w:r w:rsidRPr="00513BF4">
              <w:rPr>
                <w:sz w:val="17"/>
                <w:szCs w:val="17"/>
                <w:lang w:val="en-GB"/>
              </w:rPr>
              <w:t>CVA can allow recipients to put learning from SBC regarding nutritious diets and complementary feeding into practice</w:t>
            </w:r>
          </w:p>
        </w:tc>
        <w:tc>
          <w:tcPr>
            <w:tcW w:w="3510" w:type="dxa"/>
          </w:tcPr>
          <w:p w14:paraId="17F1CD5D" w14:textId="77777777" w:rsidR="00071A01" w:rsidRPr="00513BF4" w:rsidRDefault="00071A01" w:rsidP="00F906B4">
            <w:pPr>
              <w:pStyle w:val="ListParagraph"/>
              <w:numPr>
                <w:ilvl w:val="0"/>
                <w:numId w:val="10"/>
              </w:numPr>
              <w:jc w:val="both"/>
              <w:rPr>
                <w:rFonts w:ascii="Calibri" w:eastAsia="Times New Roman" w:hAnsi="Calibri" w:cs="Calibri"/>
                <w:color w:val="000000"/>
                <w:sz w:val="17"/>
                <w:szCs w:val="17"/>
                <w:lang w:val="en-GB"/>
              </w:rPr>
            </w:pPr>
            <w:r w:rsidRPr="00513BF4">
              <w:rPr>
                <w:rFonts w:ascii="Calibri" w:eastAsia="Times New Roman" w:hAnsi="Calibri" w:cs="Calibri"/>
                <w:color w:val="000000"/>
                <w:sz w:val="17"/>
                <w:szCs w:val="17"/>
                <w:lang w:val="en-GB"/>
              </w:rPr>
              <w:t>Incentivize participation in SBC activities</w:t>
            </w:r>
          </w:p>
          <w:p w14:paraId="3260288D" w14:textId="77777777" w:rsidR="00071A01" w:rsidRPr="00513BF4" w:rsidRDefault="00071A01" w:rsidP="00F906B4">
            <w:pPr>
              <w:pStyle w:val="ListParagraph"/>
              <w:numPr>
                <w:ilvl w:val="0"/>
                <w:numId w:val="10"/>
              </w:numPr>
              <w:jc w:val="both"/>
              <w:rPr>
                <w:rFonts w:ascii="Calibri" w:eastAsia="Times New Roman" w:hAnsi="Calibri" w:cs="Calibri"/>
                <w:color w:val="000000"/>
                <w:sz w:val="17"/>
                <w:szCs w:val="17"/>
                <w:lang w:val="en-GB"/>
              </w:rPr>
            </w:pPr>
            <w:r w:rsidRPr="00513BF4">
              <w:rPr>
                <w:rFonts w:ascii="Calibri" w:eastAsia="Times New Roman" w:hAnsi="Calibri" w:cs="Calibri"/>
                <w:color w:val="000000"/>
                <w:sz w:val="17"/>
                <w:szCs w:val="17"/>
                <w:lang w:val="en-GB"/>
              </w:rPr>
              <w:t>Allow for healthy food purchase and preparation</w:t>
            </w:r>
          </w:p>
          <w:p w14:paraId="2E0072CE" w14:textId="77777777" w:rsidR="00071A01" w:rsidRPr="00513BF4" w:rsidRDefault="00071A01" w:rsidP="00F906B4">
            <w:pPr>
              <w:pStyle w:val="ListParagraph"/>
              <w:numPr>
                <w:ilvl w:val="0"/>
                <w:numId w:val="10"/>
              </w:numPr>
              <w:jc w:val="both"/>
              <w:rPr>
                <w:rFonts w:ascii="Calibri" w:eastAsia="Times New Roman" w:hAnsi="Calibri" w:cs="Calibri"/>
                <w:color w:val="000000"/>
                <w:sz w:val="17"/>
                <w:szCs w:val="17"/>
                <w:lang w:val="en-GB"/>
              </w:rPr>
            </w:pPr>
            <w:r w:rsidRPr="00513BF4">
              <w:rPr>
                <w:rFonts w:ascii="Calibri" w:eastAsia="Times New Roman" w:hAnsi="Calibri" w:cs="Calibri"/>
                <w:color w:val="000000"/>
                <w:sz w:val="17"/>
                <w:szCs w:val="17"/>
                <w:lang w:val="en-GB"/>
              </w:rPr>
              <w:t>Stimulate demand for nutritious diet</w:t>
            </w:r>
          </w:p>
        </w:tc>
      </w:tr>
      <w:tr w:rsidR="00071A01" w:rsidRPr="00513BF4" w14:paraId="14075161" w14:textId="77777777" w:rsidTr="00CF3A25">
        <w:tc>
          <w:tcPr>
            <w:tcW w:w="1749" w:type="dxa"/>
            <w:shd w:val="clear" w:color="auto" w:fill="C5E0B3" w:themeFill="accent6" w:themeFillTint="66"/>
          </w:tcPr>
          <w:p w14:paraId="743E8229" w14:textId="58E9F6E0" w:rsidR="00071A01" w:rsidRPr="00513BF4" w:rsidRDefault="00071A01" w:rsidP="00F906B4">
            <w:pPr>
              <w:jc w:val="both"/>
              <w:rPr>
                <w:sz w:val="17"/>
                <w:szCs w:val="17"/>
                <w:lang w:val="en-GB"/>
              </w:rPr>
            </w:pPr>
            <w:r w:rsidRPr="00513BF4">
              <w:rPr>
                <w:sz w:val="17"/>
                <w:szCs w:val="17"/>
                <w:lang w:val="en-GB"/>
              </w:rPr>
              <w:t>Blanket supplementary feeding (BSF)</w:t>
            </w:r>
          </w:p>
          <w:p w14:paraId="1D144EEA" w14:textId="77777777" w:rsidR="00071A01" w:rsidRPr="00513BF4" w:rsidRDefault="00071A01" w:rsidP="00F906B4">
            <w:pPr>
              <w:jc w:val="both"/>
              <w:rPr>
                <w:sz w:val="17"/>
                <w:szCs w:val="17"/>
                <w:lang w:val="en-GB"/>
              </w:rPr>
            </w:pPr>
          </w:p>
          <w:p w14:paraId="2F242FC4" w14:textId="77777777" w:rsidR="00071A01" w:rsidRPr="00513BF4" w:rsidRDefault="00071A01" w:rsidP="00F906B4">
            <w:pPr>
              <w:jc w:val="both"/>
              <w:rPr>
                <w:sz w:val="17"/>
                <w:szCs w:val="17"/>
                <w:lang w:val="en-GB"/>
              </w:rPr>
            </w:pPr>
          </w:p>
        </w:tc>
        <w:tc>
          <w:tcPr>
            <w:tcW w:w="2026" w:type="dxa"/>
          </w:tcPr>
          <w:p w14:paraId="1A4933FE" w14:textId="77777777" w:rsidR="00071A01" w:rsidRPr="00513BF4" w:rsidRDefault="00071A01" w:rsidP="00F906B4">
            <w:pPr>
              <w:jc w:val="both"/>
              <w:rPr>
                <w:sz w:val="17"/>
                <w:szCs w:val="17"/>
                <w:lang w:val="en-GB"/>
              </w:rPr>
            </w:pPr>
            <w:r w:rsidRPr="00513BF4">
              <w:rPr>
                <w:sz w:val="17"/>
                <w:szCs w:val="17"/>
                <w:lang w:val="en-GB"/>
              </w:rPr>
              <w:t xml:space="preserve">SNF: LNS-MQ; fortified blended foods </w:t>
            </w:r>
          </w:p>
          <w:p w14:paraId="055C5D2F" w14:textId="77777777" w:rsidR="00071A01" w:rsidRPr="00513BF4" w:rsidRDefault="00071A01" w:rsidP="00F906B4">
            <w:pPr>
              <w:jc w:val="both"/>
              <w:rPr>
                <w:sz w:val="17"/>
                <w:szCs w:val="17"/>
                <w:lang w:val="en-GB"/>
              </w:rPr>
            </w:pPr>
          </w:p>
          <w:p w14:paraId="436F999C" w14:textId="77777777" w:rsidR="00071A01" w:rsidRPr="00513BF4" w:rsidRDefault="00071A01" w:rsidP="00F906B4">
            <w:pPr>
              <w:jc w:val="both"/>
              <w:rPr>
                <w:sz w:val="17"/>
                <w:szCs w:val="17"/>
                <w:lang w:val="en-GB"/>
              </w:rPr>
            </w:pPr>
          </w:p>
        </w:tc>
        <w:tc>
          <w:tcPr>
            <w:tcW w:w="2700" w:type="dxa"/>
          </w:tcPr>
          <w:p w14:paraId="2B64BEBB" w14:textId="77777777" w:rsidR="00071A01" w:rsidRPr="00513BF4" w:rsidRDefault="00071A01" w:rsidP="00F906B4">
            <w:pPr>
              <w:jc w:val="both"/>
              <w:rPr>
                <w:sz w:val="17"/>
                <w:szCs w:val="17"/>
                <w:lang w:val="en-GB"/>
              </w:rPr>
            </w:pPr>
            <w:r w:rsidRPr="00513BF4">
              <w:rPr>
                <w:b/>
                <w:sz w:val="17"/>
                <w:szCs w:val="17"/>
                <w:lang w:val="en-GB"/>
              </w:rPr>
              <w:t>Replace</w:t>
            </w:r>
            <w:r w:rsidRPr="00513BF4">
              <w:rPr>
                <w:sz w:val="17"/>
                <w:szCs w:val="17"/>
                <w:lang w:val="en-GB"/>
              </w:rPr>
              <w:t xml:space="preserve"> in-kind SNF through:</w:t>
            </w:r>
          </w:p>
          <w:p w14:paraId="52F5C33B" w14:textId="77777777" w:rsidR="00071A01" w:rsidRPr="00513BF4" w:rsidRDefault="00071A01" w:rsidP="00F906B4">
            <w:pPr>
              <w:pStyle w:val="ListParagraph"/>
              <w:numPr>
                <w:ilvl w:val="0"/>
                <w:numId w:val="12"/>
              </w:numPr>
              <w:jc w:val="both"/>
              <w:rPr>
                <w:sz w:val="17"/>
                <w:szCs w:val="17"/>
                <w:lang w:val="en-GB"/>
              </w:rPr>
            </w:pPr>
            <w:r w:rsidRPr="00513BF4">
              <w:rPr>
                <w:sz w:val="17"/>
                <w:szCs w:val="17"/>
                <w:lang w:val="en-GB"/>
              </w:rPr>
              <w:t xml:space="preserve">Cash top-up </w:t>
            </w:r>
          </w:p>
          <w:p w14:paraId="394F8A39" w14:textId="77777777" w:rsidR="00071A01" w:rsidRPr="00513BF4" w:rsidRDefault="00071A01" w:rsidP="00F906B4">
            <w:pPr>
              <w:pStyle w:val="ListParagraph"/>
              <w:numPr>
                <w:ilvl w:val="0"/>
                <w:numId w:val="12"/>
              </w:numPr>
              <w:jc w:val="both"/>
              <w:rPr>
                <w:sz w:val="17"/>
                <w:szCs w:val="17"/>
                <w:lang w:val="en-GB"/>
              </w:rPr>
            </w:pPr>
            <w:r w:rsidRPr="00513BF4">
              <w:rPr>
                <w:sz w:val="17"/>
                <w:szCs w:val="17"/>
                <w:lang w:val="en-GB"/>
              </w:rPr>
              <w:t>Vouchers for locally available fresh and fortified foods</w:t>
            </w:r>
          </w:p>
          <w:p w14:paraId="3B7673BD" w14:textId="77777777" w:rsidR="00071A01" w:rsidRPr="00513BF4" w:rsidRDefault="00071A01" w:rsidP="00F906B4">
            <w:pPr>
              <w:jc w:val="both"/>
              <w:rPr>
                <w:sz w:val="17"/>
                <w:szCs w:val="17"/>
                <w:lang w:val="en-GB"/>
              </w:rPr>
            </w:pPr>
            <w:r w:rsidRPr="00513BF4">
              <w:rPr>
                <w:sz w:val="17"/>
                <w:szCs w:val="17"/>
                <w:lang w:val="en-GB"/>
              </w:rPr>
              <w:t>Amount/value based on the nutrient requirements of at-risk groups</w:t>
            </w:r>
          </w:p>
        </w:tc>
        <w:tc>
          <w:tcPr>
            <w:tcW w:w="3510" w:type="dxa"/>
          </w:tcPr>
          <w:p w14:paraId="4A42FAFE" w14:textId="77777777" w:rsidR="00071A01" w:rsidRPr="00513BF4" w:rsidRDefault="00071A01" w:rsidP="00F906B4">
            <w:pPr>
              <w:pStyle w:val="ListParagraph"/>
              <w:numPr>
                <w:ilvl w:val="0"/>
                <w:numId w:val="12"/>
              </w:numPr>
              <w:jc w:val="both"/>
              <w:rPr>
                <w:sz w:val="17"/>
                <w:szCs w:val="17"/>
                <w:lang w:val="en-GB"/>
              </w:rPr>
            </w:pPr>
            <w:r w:rsidRPr="00513BF4">
              <w:rPr>
                <w:sz w:val="17"/>
                <w:szCs w:val="17"/>
                <w:lang w:val="en-GB"/>
              </w:rPr>
              <w:t>To prevent deterioration in the nutritional status of at-risk groups.</w:t>
            </w:r>
          </w:p>
          <w:p w14:paraId="06A3BA3E" w14:textId="77777777" w:rsidR="00071A01" w:rsidRPr="00513BF4" w:rsidRDefault="00071A01" w:rsidP="00F906B4">
            <w:pPr>
              <w:pStyle w:val="ListParagraph"/>
              <w:numPr>
                <w:ilvl w:val="0"/>
                <w:numId w:val="12"/>
              </w:numPr>
              <w:jc w:val="both"/>
              <w:rPr>
                <w:sz w:val="17"/>
                <w:szCs w:val="17"/>
                <w:lang w:val="en-GB"/>
              </w:rPr>
            </w:pPr>
            <w:r w:rsidRPr="00513BF4">
              <w:rPr>
                <w:sz w:val="17"/>
                <w:szCs w:val="17"/>
                <w:lang w:val="en-GB"/>
              </w:rPr>
              <w:t>To reduce the prevalence of MAM in children under five thereby reducing the mortality and morbidity risk.</w:t>
            </w:r>
          </w:p>
          <w:p w14:paraId="522C9970" w14:textId="77777777" w:rsidR="00071A01" w:rsidRPr="00513BF4" w:rsidRDefault="00071A01" w:rsidP="00F906B4">
            <w:pPr>
              <w:pStyle w:val="ListParagraph"/>
              <w:numPr>
                <w:ilvl w:val="0"/>
                <w:numId w:val="12"/>
              </w:numPr>
              <w:jc w:val="both"/>
              <w:rPr>
                <w:sz w:val="17"/>
                <w:szCs w:val="17"/>
                <w:lang w:val="en-GB"/>
              </w:rPr>
            </w:pPr>
            <w:r w:rsidRPr="00513BF4">
              <w:rPr>
                <w:sz w:val="17"/>
                <w:szCs w:val="17"/>
                <w:lang w:val="en-GB"/>
              </w:rPr>
              <w:t>Support dietary diversification</w:t>
            </w:r>
          </w:p>
        </w:tc>
      </w:tr>
      <w:tr w:rsidR="00071A01" w:rsidRPr="00513BF4" w14:paraId="1F09A9EC" w14:textId="77777777" w:rsidTr="00CF3A25">
        <w:tc>
          <w:tcPr>
            <w:tcW w:w="1749" w:type="dxa"/>
            <w:shd w:val="clear" w:color="auto" w:fill="C5E0B3" w:themeFill="accent6" w:themeFillTint="66"/>
          </w:tcPr>
          <w:p w14:paraId="77C9BB18" w14:textId="0348C8C8" w:rsidR="00071A01" w:rsidRPr="00513BF4" w:rsidRDefault="00071A01" w:rsidP="00F906B4">
            <w:pPr>
              <w:jc w:val="both"/>
              <w:rPr>
                <w:sz w:val="17"/>
                <w:szCs w:val="17"/>
                <w:lang w:val="en-GB"/>
              </w:rPr>
            </w:pPr>
            <w:r w:rsidRPr="00513BF4">
              <w:rPr>
                <w:sz w:val="17"/>
                <w:szCs w:val="17"/>
                <w:lang w:val="en-GB"/>
              </w:rPr>
              <w:t>Complementary feeding assistance</w:t>
            </w:r>
          </w:p>
        </w:tc>
        <w:tc>
          <w:tcPr>
            <w:tcW w:w="2026" w:type="dxa"/>
          </w:tcPr>
          <w:p w14:paraId="111B8527" w14:textId="77777777" w:rsidR="00071A01" w:rsidRPr="00513BF4" w:rsidRDefault="00071A01" w:rsidP="00F906B4">
            <w:pPr>
              <w:jc w:val="both"/>
              <w:rPr>
                <w:sz w:val="17"/>
                <w:szCs w:val="17"/>
                <w:lang w:val="en-GB"/>
              </w:rPr>
            </w:pPr>
            <w:r w:rsidRPr="00513BF4">
              <w:rPr>
                <w:sz w:val="17"/>
                <w:szCs w:val="17"/>
                <w:lang w:val="en-GB"/>
              </w:rPr>
              <w:t>SNF targeting children 6-23 months:</w:t>
            </w:r>
          </w:p>
          <w:p w14:paraId="67CFDF57" w14:textId="77777777" w:rsidR="00071A01" w:rsidRPr="00513BF4" w:rsidRDefault="00071A01" w:rsidP="00F906B4">
            <w:pPr>
              <w:jc w:val="both"/>
              <w:rPr>
                <w:sz w:val="17"/>
                <w:szCs w:val="17"/>
                <w:lang w:val="en-GB"/>
              </w:rPr>
            </w:pPr>
            <w:r w:rsidRPr="00513BF4">
              <w:rPr>
                <w:sz w:val="17"/>
                <w:szCs w:val="17"/>
                <w:lang w:val="en-GB"/>
              </w:rPr>
              <w:t>fortified blended foods</w:t>
            </w:r>
          </w:p>
        </w:tc>
        <w:tc>
          <w:tcPr>
            <w:tcW w:w="2700" w:type="dxa"/>
          </w:tcPr>
          <w:p w14:paraId="2CB7F2F6" w14:textId="77777777" w:rsidR="00071A01" w:rsidRPr="00513BF4" w:rsidRDefault="00071A01" w:rsidP="00F906B4">
            <w:pPr>
              <w:jc w:val="both"/>
              <w:rPr>
                <w:sz w:val="17"/>
                <w:szCs w:val="17"/>
                <w:lang w:val="en-GB"/>
              </w:rPr>
            </w:pPr>
            <w:r w:rsidRPr="00513BF4">
              <w:rPr>
                <w:b/>
                <w:sz w:val="17"/>
                <w:szCs w:val="17"/>
                <w:lang w:val="en-GB"/>
              </w:rPr>
              <w:t>Replace</w:t>
            </w:r>
            <w:r w:rsidRPr="00513BF4">
              <w:rPr>
                <w:sz w:val="17"/>
                <w:szCs w:val="17"/>
                <w:lang w:val="en-GB"/>
              </w:rPr>
              <w:t xml:space="preserve"> in-kind SNF through</w:t>
            </w:r>
          </w:p>
          <w:p w14:paraId="27F07F7E" w14:textId="77777777" w:rsidR="00071A01" w:rsidRPr="00513BF4" w:rsidRDefault="00071A01" w:rsidP="00F906B4">
            <w:pPr>
              <w:pStyle w:val="ListParagraph"/>
              <w:numPr>
                <w:ilvl w:val="0"/>
                <w:numId w:val="12"/>
              </w:numPr>
              <w:jc w:val="both"/>
              <w:rPr>
                <w:sz w:val="17"/>
                <w:szCs w:val="17"/>
                <w:lang w:val="en-GB"/>
              </w:rPr>
            </w:pPr>
            <w:r w:rsidRPr="00513BF4">
              <w:rPr>
                <w:sz w:val="17"/>
                <w:szCs w:val="17"/>
                <w:lang w:val="en-GB"/>
              </w:rPr>
              <w:t>Cash top-up</w:t>
            </w:r>
          </w:p>
          <w:p w14:paraId="5057BA1F" w14:textId="77777777" w:rsidR="00071A01" w:rsidRPr="00513BF4" w:rsidRDefault="00071A01" w:rsidP="00F906B4">
            <w:pPr>
              <w:pStyle w:val="ListParagraph"/>
              <w:numPr>
                <w:ilvl w:val="0"/>
                <w:numId w:val="12"/>
              </w:numPr>
              <w:jc w:val="both"/>
              <w:rPr>
                <w:sz w:val="17"/>
                <w:szCs w:val="17"/>
                <w:lang w:val="en-GB"/>
              </w:rPr>
            </w:pPr>
            <w:r w:rsidRPr="00513BF4">
              <w:rPr>
                <w:sz w:val="17"/>
                <w:szCs w:val="17"/>
                <w:lang w:val="en-GB"/>
              </w:rPr>
              <w:t>Vouchers for locally available fresh and fortified foods</w:t>
            </w:r>
          </w:p>
          <w:p w14:paraId="508C1DB0" w14:textId="77777777" w:rsidR="00071A01" w:rsidRPr="00513BF4" w:rsidRDefault="00071A01" w:rsidP="00F906B4">
            <w:pPr>
              <w:jc w:val="both"/>
              <w:rPr>
                <w:sz w:val="17"/>
                <w:szCs w:val="17"/>
                <w:lang w:val="en-GB"/>
              </w:rPr>
            </w:pPr>
            <w:r w:rsidRPr="00513BF4">
              <w:rPr>
                <w:sz w:val="17"/>
                <w:szCs w:val="17"/>
                <w:lang w:val="en-GB"/>
              </w:rPr>
              <w:t>Amount/value based on the nutrient requirements of children 6-23 months</w:t>
            </w:r>
          </w:p>
        </w:tc>
        <w:tc>
          <w:tcPr>
            <w:tcW w:w="3510" w:type="dxa"/>
          </w:tcPr>
          <w:p w14:paraId="2A5BCE64" w14:textId="77777777" w:rsidR="00071A01" w:rsidRPr="00513BF4" w:rsidRDefault="00071A01" w:rsidP="00F906B4">
            <w:pPr>
              <w:pStyle w:val="ListParagraph"/>
              <w:numPr>
                <w:ilvl w:val="0"/>
                <w:numId w:val="12"/>
              </w:numPr>
              <w:jc w:val="both"/>
              <w:rPr>
                <w:sz w:val="17"/>
                <w:szCs w:val="17"/>
                <w:lang w:val="en-GB"/>
              </w:rPr>
            </w:pPr>
            <w:r w:rsidRPr="00513BF4">
              <w:rPr>
                <w:sz w:val="17"/>
                <w:szCs w:val="17"/>
                <w:lang w:val="en-GB"/>
              </w:rPr>
              <w:t xml:space="preserve">children between 6-23 months receive </w:t>
            </w:r>
            <w:proofErr w:type="gramStart"/>
            <w:r w:rsidRPr="00513BF4">
              <w:rPr>
                <w:sz w:val="17"/>
                <w:szCs w:val="17"/>
                <w:lang w:val="en-GB"/>
              </w:rPr>
              <w:t>sufficient</w:t>
            </w:r>
            <w:proofErr w:type="gramEnd"/>
            <w:r w:rsidRPr="00513BF4">
              <w:rPr>
                <w:sz w:val="17"/>
                <w:szCs w:val="17"/>
                <w:lang w:val="en-GB"/>
              </w:rPr>
              <w:t xml:space="preserve"> macro and micro-nutrients for their growth and development</w:t>
            </w:r>
          </w:p>
        </w:tc>
      </w:tr>
      <w:tr w:rsidR="00071A01" w:rsidRPr="00513BF4" w14:paraId="27FE159F" w14:textId="77777777" w:rsidTr="00CF3A25">
        <w:tc>
          <w:tcPr>
            <w:tcW w:w="1749" w:type="dxa"/>
            <w:shd w:val="clear" w:color="auto" w:fill="C5E0B3" w:themeFill="accent6" w:themeFillTint="66"/>
          </w:tcPr>
          <w:p w14:paraId="50C8832C" w14:textId="77777777" w:rsidR="00071A01" w:rsidRPr="00513BF4" w:rsidRDefault="00071A01" w:rsidP="00F906B4">
            <w:pPr>
              <w:jc w:val="both"/>
              <w:rPr>
                <w:sz w:val="17"/>
                <w:szCs w:val="17"/>
                <w:lang w:val="en-GB"/>
              </w:rPr>
            </w:pPr>
            <w:r w:rsidRPr="00513BF4">
              <w:rPr>
                <w:sz w:val="17"/>
                <w:szCs w:val="17"/>
                <w:lang w:val="en-GB"/>
              </w:rPr>
              <w:t>Prevention of micro-nutrient deficiencies</w:t>
            </w:r>
          </w:p>
        </w:tc>
        <w:tc>
          <w:tcPr>
            <w:tcW w:w="2026" w:type="dxa"/>
          </w:tcPr>
          <w:p w14:paraId="375D10EB" w14:textId="22B0D701" w:rsidR="00071A01" w:rsidRPr="00513BF4" w:rsidRDefault="00071A01" w:rsidP="00F906B4">
            <w:pPr>
              <w:jc w:val="both"/>
              <w:rPr>
                <w:sz w:val="17"/>
                <w:szCs w:val="17"/>
                <w:lang w:val="en-GB"/>
              </w:rPr>
            </w:pPr>
            <w:r w:rsidRPr="00513BF4">
              <w:rPr>
                <w:sz w:val="17"/>
                <w:szCs w:val="17"/>
                <w:lang w:val="en-GB"/>
              </w:rPr>
              <w:t>Variety of options, including SNF: micronut powder; LNS-LQ/MQ; FBF</w:t>
            </w:r>
          </w:p>
        </w:tc>
        <w:tc>
          <w:tcPr>
            <w:tcW w:w="2700" w:type="dxa"/>
          </w:tcPr>
          <w:p w14:paraId="085ECA5C" w14:textId="77777777" w:rsidR="00071A01" w:rsidRPr="00513BF4" w:rsidRDefault="00071A01" w:rsidP="00F906B4">
            <w:pPr>
              <w:jc w:val="both"/>
              <w:rPr>
                <w:sz w:val="17"/>
                <w:szCs w:val="17"/>
                <w:lang w:val="en-GB"/>
              </w:rPr>
            </w:pPr>
            <w:r w:rsidRPr="00513BF4">
              <w:rPr>
                <w:b/>
                <w:sz w:val="17"/>
                <w:szCs w:val="17"/>
                <w:lang w:val="en-GB"/>
              </w:rPr>
              <w:t>Complement</w:t>
            </w:r>
            <w:r w:rsidRPr="00513BF4">
              <w:rPr>
                <w:sz w:val="17"/>
                <w:szCs w:val="17"/>
                <w:lang w:val="en-GB"/>
              </w:rPr>
              <w:t xml:space="preserve"> nutrition supplements through household CVA </w:t>
            </w:r>
          </w:p>
        </w:tc>
        <w:tc>
          <w:tcPr>
            <w:tcW w:w="3510" w:type="dxa"/>
          </w:tcPr>
          <w:p w14:paraId="3785EDBC" w14:textId="77777777" w:rsidR="00071A01" w:rsidRPr="00513BF4" w:rsidRDefault="00071A01" w:rsidP="00F906B4">
            <w:pPr>
              <w:pStyle w:val="ListParagraph"/>
              <w:numPr>
                <w:ilvl w:val="0"/>
                <w:numId w:val="12"/>
              </w:numPr>
              <w:jc w:val="both"/>
              <w:rPr>
                <w:sz w:val="17"/>
                <w:szCs w:val="17"/>
                <w:lang w:val="en-GB"/>
              </w:rPr>
            </w:pPr>
            <w:r w:rsidRPr="00513BF4">
              <w:rPr>
                <w:sz w:val="17"/>
                <w:szCs w:val="17"/>
                <w:lang w:val="en-GB"/>
              </w:rPr>
              <w:t xml:space="preserve">See household assistance </w:t>
            </w:r>
          </w:p>
        </w:tc>
      </w:tr>
      <w:tr w:rsidR="00071A01" w:rsidRPr="00513BF4" w14:paraId="248B4B4A" w14:textId="77777777" w:rsidTr="00CF3A25">
        <w:tc>
          <w:tcPr>
            <w:tcW w:w="1749" w:type="dxa"/>
            <w:shd w:val="clear" w:color="auto" w:fill="C5E0B3" w:themeFill="accent6" w:themeFillTint="66"/>
          </w:tcPr>
          <w:p w14:paraId="599043CF" w14:textId="77777777" w:rsidR="00071A01" w:rsidRPr="00513BF4" w:rsidRDefault="00071A01" w:rsidP="00F906B4">
            <w:pPr>
              <w:jc w:val="both"/>
              <w:rPr>
                <w:sz w:val="17"/>
                <w:szCs w:val="17"/>
                <w:lang w:val="en-GB"/>
              </w:rPr>
            </w:pPr>
            <w:r w:rsidRPr="00513BF4">
              <w:rPr>
                <w:sz w:val="17"/>
                <w:szCs w:val="17"/>
                <w:lang w:val="en-GB"/>
              </w:rPr>
              <w:t>Provision of breast milk substitutes (BMS)</w:t>
            </w:r>
          </w:p>
        </w:tc>
        <w:tc>
          <w:tcPr>
            <w:tcW w:w="2026" w:type="dxa"/>
          </w:tcPr>
          <w:p w14:paraId="0E864E3E" w14:textId="77777777" w:rsidR="00071A01" w:rsidRPr="00513BF4" w:rsidRDefault="00071A01" w:rsidP="00F906B4">
            <w:pPr>
              <w:jc w:val="both"/>
              <w:rPr>
                <w:sz w:val="17"/>
                <w:szCs w:val="17"/>
                <w:lang w:val="en-GB"/>
              </w:rPr>
            </w:pPr>
            <w:r w:rsidRPr="00513BF4">
              <w:rPr>
                <w:sz w:val="17"/>
                <w:szCs w:val="17"/>
                <w:lang w:val="en-GB"/>
              </w:rPr>
              <w:t>Provision of in-kind BMS</w:t>
            </w:r>
          </w:p>
        </w:tc>
        <w:tc>
          <w:tcPr>
            <w:tcW w:w="2700" w:type="dxa"/>
          </w:tcPr>
          <w:p w14:paraId="51746588" w14:textId="77777777" w:rsidR="00071A01" w:rsidRPr="00513BF4" w:rsidRDefault="00071A01" w:rsidP="00F906B4">
            <w:pPr>
              <w:jc w:val="both"/>
              <w:rPr>
                <w:bCs/>
                <w:sz w:val="17"/>
                <w:szCs w:val="17"/>
                <w:lang w:val="en-GB"/>
              </w:rPr>
            </w:pPr>
            <w:r w:rsidRPr="00513BF4">
              <w:rPr>
                <w:b/>
                <w:sz w:val="17"/>
                <w:szCs w:val="17"/>
                <w:lang w:val="en-GB"/>
              </w:rPr>
              <w:t>Replace</w:t>
            </w:r>
            <w:r w:rsidRPr="00513BF4">
              <w:rPr>
                <w:sz w:val="17"/>
                <w:szCs w:val="17"/>
                <w:lang w:val="en-GB"/>
              </w:rPr>
              <w:t xml:space="preserve"> </w:t>
            </w:r>
            <w:r w:rsidRPr="00513BF4">
              <w:rPr>
                <w:bCs/>
                <w:sz w:val="17"/>
                <w:szCs w:val="17"/>
                <w:lang w:val="en-GB"/>
              </w:rPr>
              <w:t>in-kind BMS with commodity voucher to access code compliant BMS</w:t>
            </w:r>
          </w:p>
        </w:tc>
        <w:tc>
          <w:tcPr>
            <w:tcW w:w="3510" w:type="dxa"/>
          </w:tcPr>
          <w:p w14:paraId="7967F768" w14:textId="77777777" w:rsidR="00071A01" w:rsidRPr="00513BF4" w:rsidRDefault="00071A01" w:rsidP="00F906B4">
            <w:pPr>
              <w:pStyle w:val="ListParagraph"/>
              <w:numPr>
                <w:ilvl w:val="0"/>
                <w:numId w:val="12"/>
              </w:numPr>
              <w:jc w:val="both"/>
              <w:rPr>
                <w:sz w:val="17"/>
                <w:szCs w:val="17"/>
                <w:lang w:val="en-GB"/>
              </w:rPr>
            </w:pPr>
            <w:r w:rsidRPr="00513BF4">
              <w:rPr>
                <w:sz w:val="17"/>
                <w:szCs w:val="17"/>
                <w:lang w:val="en-GB"/>
              </w:rPr>
              <w:t>Ensure adequate nutrition for infant</w:t>
            </w:r>
          </w:p>
        </w:tc>
      </w:tr>
      <w:tr w:rsidR="00071A01" w:rsidRPr="00513BF4" w14:paraId="4D96B409" w14:textId="77777777" w:rsidTr="00CF3A25">
        <w:tc>
          <w:tcPr>
            <w:tcW w:w="1749" w:type="dxa"/>
            <w:tcBorders>
              <w:bottom w:val="single" w:sz="4" w:space="0" w:color="000000" w:themeColor="text1"/>
            </w:tcBorders>
            <w:shd w:val="clear" w:color="auto" w:fill="C5E0B3" w:themeFill="accent6" w:themeFillTint="66"/>
          </w:tcPr>
          <w:p w14:paraId="0ED42F20" w14:textId="77777777" w:rsidR="00071A01" w:rsidRPr="00513BF4" w:rsidRDefault="00071A01" w:rsidP="00F906B4">
            <w:pPr>
              <w:jc w:val="both"/>
              <w:rPr>
                <w:sz w:val="17"/>
                <w:szCs w:val="17"/>
                <w:lang w:val="en-GB"/>
              </w:rPr>
            </w:pPr>
            <w:r w:rsidRPr="00513BF4">
              <w:rPr>
                <w:sz w:val="17"/>
                <w:szCs w:val="17"/>
                <w:lang w:val="en-GB"/>
              </w:rPr>
              <w:t>Provision of priority health services</w:t>
            </w:r>
          </w:p>
        </w:tc>
        <w:tc>
          <w:tcPr>
            <w:tcW w:w="2026" w:type="dxa"/>
            <w:tcBorders>
              <w:bottom w:val="single" w:sz="4" w:space="0" w:color="000000" w:themeColor="text1"/>
            </w:tcBorders>
          </w:tcPr>
          <w:p w14:paraId="7D209EE9" w14:textId="77777777" w:rsidR="00071A01" w:rsidRPr="00513BF4" w:rsidRDefault="00071A01" w:rsidP="00F906B4">
            <w:pPr>
              <w:jc w:val="both"/>
              <w:rPr>
                <w:sz w:val="17"/>
                <w:szCs w:val="17"/>
                <w:lang w:val="en-GB"/>
              </w:rPr>
            </w:pPr>
            <w:r w:rsidRPr="00513BF4">
              <w:rPr>
                <w:sz w:val="17"/>
                <w:szCs w:val="17"/>
                <w:lang w:val="en-GB"/>
              </w:rPr>
              <w:t>Health service provision: vaccination, deworming, pre- post-natal care, growth monitoring, etc.</w:t>
            </w:r>
          </w:p>
          <w:p w14:paraId="677D4B00" w14:textId="77777777" w:rsidR="00071A01" w:rsidRPr="00513BF4" w:rsidRDefault="00071A01" w:rsidP="00F906B4">
            <w:pPr>
              <w:jc w:val="both"/>
              <w:rPr>
                <w:sz w:val="17"/>
                <w:szCs w:val="17"/>
                <w:lang w:val="en-GB"/>
              </w:rPr>
            </w:pPr>
          </w:p>
          <w:p w14:paraId="4CB330AA" w14:textId="77777777" w:rsidR="00071A01" w:rsidRPr="00513BF4" w:rsidRDefault="00071A01" w:rsidP="00F906B4">
            <w:pPr>
              <w:jc w:val="both"/>
              <w:rPr>
                <w:sz w:val="17"/>
                <w:szCs w:val="17"/>
                <w:lang w:val="en-GB"/>
              </w:rPr>
            </w:pPr>
          </w:p>
        </w:tc>
        <w:tc>
          <w:tcPr>
            <w:tcW w:w="2700" w:type="dxa"/>
            <w:tcBorders>
              <w:bottom w:val="single" w:sz="4" w:space="0" w:color="000000" w:themeColor="text1"/>
            </w:tcBorders>
          </w:tcPr>
          <w:p w14:paraId="115ED8A8" w14:textId="77777777" w:rsidR="00071A01" w:rsidRPr="00513BF4" w:rsidRDefault="00071A01" w:rsidP="00F906B4">
            <w:pPr>
              <w:jc w:val="both"/>
              <w:rPr>
                <w:sz w:val="17"/>
                <w:szCs w:val="17"/>
                <w:lang w:val="en-GB"/>
              </w:rPr>
            </w:pPr>
            <w:r w:rsidRPr="00513BF4">
              <w:rPr>
                <w:b/>
                <w:bCs/>
                <w:sz w:val="17"/>
                <w:szCs w:val="17"/>
                <w:lang w:val="en-GB"/>
              </w:rPr>
              <w:lastRenderedPageBreak/>
              <w:t>Complement</w:t>
            </w:r>
            <w:r w:rsidRPr="00513BF4">
              <w:rPr>
                <w:sz w:val="17"/>
                <w:szCs w:val="17"/>
                <w:lang w:val="en-GB"/>
              </w:rPr>
              <w:t>: CVA to cover direct and indirect costs of accessing priority health services</w:t>
            </w:r>
          </w:p>
          <w:p w14:paraId="7EAA51E9" w14:textId="77777777" w:rsidR="00071A01" w:rsidRPr="00513BF4" w:rsidRDefault="00071A01" w:rsidP="00F906B4">
            <w:pPr>
              <w:jc w:val="both"/>
              <w:rPr>
                <w:i/>
                <w:iCs/>
                <w:sz w:val="17"/>
                <w:szCs w:val="17"/>
                <w:lang w:val="en-GB"/>
              </w:rPr>
            </w:pPr>
            <w:r w:rsidRPr="00513BF4">
              <w:rPr>
                <w:i/>
                <w:iCs/>
                <w:sz w:val="17"/>
                <w:szCs w:val="17"/>
                <w:lang w:val="en-GB"/>
              </w:rPr>
              <w:lastRenderedPageBreak/>
              <w:t xml:space="preserve">CVA can be </w:t>
            </w:r>
            <w:r w:rsidRPr="00513BF4">
              <w:rPr>
                <w:b/>
                <w:bCs/>
                <w:i/>
                <w:iCs/>
                <w:sz w:val="17"/>
                <w:szCs w:val="17"/>
                <w:lang w:val="en-GB"/>
              </w:rPr>
              <w:t>conditional</w:t>
            </w:r>
            <w:r w:rsidRPr="00513BF4">
              <w:rPr>
                <w:i/>
                <w:iCs/>
                <w:sz w:val="17"/>
                <w:szCs w:val="17"/>
                <w:lang w:val="en-GB"/>
              </w:rPr>
              <w:t xml:space="preserve"> on attendance to priority health services </w:t>
            </w:r>
          </w:p>
        </w:tc>
        <w:tc>
          <w:tcPr>
            <w:tcW w:w="3510" w:type="dxa"/>
            <w:tcBorders>
              <w:bottom w:val="single" w:sz="4" w:space="0" w:color="000000" w:themeColor="text1"/>
            </w:tcBorders>
          </w:tcPr>
          <w:p w14:paraId="67155047" w14:textId="77777777" w:rsidR="00071A01" w:rsidRPr="00513BF4" w:rsidRDefault="00071A01" w:rsidP="00F906B4">
            <w:pPr>
              <w:pStyle w:val="ListParagraph"/>
              <w:numPr>
                <w:ilvl w:val="0"/>
                <w:numId w:val="14"/>
              </w:numPr>
              <w:jc w:val="both"/>
              <w:rPr>
                <w:sz w:val="17"/>
                <w:szCs w:val="17"/>
                <w:lang w:val="en-GB"/>
              </w:rPr>
            </w:pPr>
            <w:r w:rsidRPr="00513BF4">
              <w:rPr>
                <w:sz w:val="17"/>
                <w:szCs w:val="17"/>
                <w:lang w:val="en-GB"/>
              </w:rPr>
              <w:lastRenderedPageBreak/>
              <w:t>Promote attendance to priority health services by covering direct and indict costs</w:t>
            </w:r>
          </w:p>
          <w:p w14:paraId="37B59EB7" w14:textId="77777777" w:rsidR="00071A01" w:rsidRPr="00513BF4" w:rsidRDefault="00071A01" w:rsidP="00F906B4">
            <w:pPr>
              <w:pStyle w:val="ListParagraph"/>
              <w:numPr>
                <w:ilvl w:val="0"/>
                <w:numId w:val="14"/>
              </w:numPr>
              <w:jc w:val="both"/>
              <w:rPr>
                <w:sz w:val="17"/>
                <w:szCs w:val="17"/>
                <w:lang w:val="en-GB"/>
              </w:rPr>
            </w:pPr>
            <w:r w:rsidRPr="00513BF4">
              <w:rPr>
                <w:sz w:val="17"/>
                <w:szCs w:val="17"/>
                <w:lang w:val="en-GB"/>
              </w:rPr>
              <w:t>Reduce opportunity costs</w:t>
            </w:r>
          </w:p>
        </w:tc>
      </w:tr>
      <w:tr w:rsidR="00071A01" w:rsidRPr="00513BF4" w14:paraId="07DCFE00" w14:textId="77777777" w:rsidTr="00CF3A25">
        <w:tc>
          <w:tcPr>
            <w:tcW w:w="9985" w:type="dxa"/>
            <w:gridSpan w:val="4"/>
            <w:tcBorders>
              <w:bottom w:val="single" w:sz="4" w:space="0" w:color="auto"/>
            </w:tcBorders>
            <w:shd w:val="clear" w:color="auto" w:fill="F7CAAC" w:themeFill="accent2" w:themeFillTint="66"/>
          </w:tcPr>
          <w:p w14:paraId="2985AA24" w14:textId="77777777" w:rsidR="00071A01" w:rsidRPr="00513BF4" w:rsidRDefault="00071A01" w:rsidP="00F906B4">
            <w:pPr>
              <w:jc w:val="both"/>
              <w:rPr>
                <w:sz w:val="17"/>
                <w:szCs w:val="17"/>
                <w:lang w:val="en-GB"/>
              </w:rPr>
            </w:pPr>
            <w:r w:rsidRPr="00513BF4">
              <w:rPr>
                <w:b/>
                <w:i/>
                <w:iCs/>
                <w:sz w:val="17"/>
                <w:szCs w:val="17"/>
                <w:lang w:val="en-GB"/>
              </w:rPr>
              <w:t>Nutrition-specific response options aimed at treating malnutrition</w:t>
            </w:r>
          </w:p>
        </w:tc>
      </w:tr>
      <w:tr w:rsidR="00071A01" w:rsidRPr="00513BF4" w14:paraId="6599DF20" w14:textId="77777777" w:rsidTr="00CF3A25">
        <w:tc>
          <w:tcPr>
            <w:tcW w:w="1749" w:type="dxa"/>
            <w:shd w:val="clear" w:color="auto" w:fill="F7CAAC" w:themeFill="accent2" w:themeFillTint="66"/>
          </w:tcPr>
          <w:p w14:paraId="4408EE16" w14:textId="5EBFE889" w:rsidR="00071A01" w:rsidRPr="00513BF4" w:rsidRDefault="00071A01" w:rsidP="00F906B4">
            <w:pPr>
              <w:jc w:val="both"/>
              <w:rPr>
                <w:sz w:val="17"/>
                <w:szCs w:val="17"/>
                <w:lang w:val="en-GB"/>
              </w:rPr>
            </w:pPr>
            <w:r w:rsidRPr="00513BF4">
              <w:rPr>
                <w:sz w:val="17"/>
                <w:szCs w:val="17"/>
                <w:lang w:val="en-GB"/>
              </w:rPr>
              <w:t>Targeted supple-</w:t>
            </w:r>
            <w:proofErr w:type="spellStart"/>
            <w:r w:rsidRPr="00513BF4">
              <w:rPr>
                <w:sz w:val="17"/>
                <w:szCs w:val="17"/>
                <w:lang w:val="en-GB"/>
              </w:rPr>
              <w:t>mentary</w:t>
            </w:r>
            <w:proofErr w:type="spellEnd"/>
            <w:r w:rsidRPr="00513BF4">
              <w:rPr>
                <w:sz w:val="17"/>
                <w:szCs w:val="17"/>
                <w:lang w:val="en-GB"/>
              </w:rPr>
              <w:t xml:space="preserve"> feeding</w:t>
            </w:r>
            <w:r w:rsidR="003F202C" w:rsidRPr="00513BF4">
              <w:rPr>
                <w:sz w:val="18"/>
                <w:szCs w:val="18"/>
                <w:lang w:val="en-GB"/>
              </w:rPr>
              <w:t xml:space="preserve"> </w:t>
            </w:r>
            <w:r w:rsidRPr="00513BF4">
              <w:rPr>
                <w:sz w:val="18"/>
                <w:szCs w:val="18"/>
                <w:lang w:val="en-GB"/>
              </w:rPr>
              <w:t>(MAM treatment)</w:t>
            </w:r>
          </w:p>
        </w:tc>
        <w:tc>
          <w:tcPr>
            <w:tcW w:w="2026" w:type="dxa"/>
          </w:tcPr>
          <w:p w14:paraId="25A2A2A7" w14:textId="77777777" w:rsidR="00071A01" w:rsidRPr="00513BF4" w:rsidRDefault="00071A01" w:rsidP="00F906B4">
            <w:pPr>
              <w:pStyle w:val="ListParagraph"/>
              <w:numPr>
                <w:ilvl w:val="0"/>
                <w:numId w:val="15"/>
              </w:numPr>
              <w:jc w:val="both"/>
              <w:rPr>
                <w:sz w:val="17"/>
                <w:szCs w:val="17"/>
                <w:lang w:val="en-GB"/>
              </w:rPr>
            </w:pPr>
            <w:r w:rsidRPr="00513BF4">
              <w:rPr>
                <w:sz w:val="17"/>
                <w:szCs w:val="17"/>
                <w:lang w:val="en-GB"/>
              </w:rPr>
              <w:t>Health service (routine treatment)</w:t>
            </w:r>
          </w:p>
          <w:p w14:paraId="6B46A048" w14:textId="77777777" w:rsidR="00071A01" w:rsidRPr="00513BF4" w:rsidRDefault="00071A01" w:rsidP="00F906B4">
            <w:pPr>
              <w:pStyle w:val="ListParagraph"/>
              <w:numPr>
                <w:ilvl w:val="0"/>
                <w:numId w:val="14"/>
              </w:numPr>
              <w:jc w:val="both"/>
              <w:rPr>
                <w:sz w:val="17"/>
                <w:szCs w:val="17"/>
                <w:lang w:val="en-GB"/>
              </w:rPr>
            </w:pPr>
            <w:r w:rsidRPr="00513BF4">
              <w:rPr>
                <w:sz w:val="17"/>
                <w:szCs w:val="17"/>
                <w:lang w:val="en-GB"/>
              </w:rPr>
              <w:t>SNF: FBF, RUSF</w:t>
            </w:r>
          </w:p>
        </w:tc>
        <w:tc>
          <w:tcPr>
            <w:tcW w:w="2700" w:type="dxa"/>
            <w:vMerge w:val="restart"/>
          </w:tcPr>
          <w:p w14:paraId="0F7FCC2A" w14:textId="77777777" w:rsidR="00071A01" w:rsidRPr="00513BF4" w:rsidRDefault="00071A01" w:rsidP="00F906B4">
            <w:pPr>
              <w:jc w:val="both"/>
              <w:rPr>
                <w:sz w:val="17"/>
                <w:szCs w:val="17"/>
                <w:lang w:val="en-GB"/>
              </w:rPr>
            </w:pPr>
            <w:r w:rsidRPr="00513BF4">
              <w:rPr>
                <w:b/>
                <w:sz w:val="17"/>
                <w:szCs w:val="17"/>
                <w:lang w:val="en-GB"/>
              </w:rPr>
              <w:t>Complement</w:t>
            </w:r>
            <w:r w:rsidRPr="00513BF4">
              <w:rPr>
                <w:sz w:val="17"/>
                <w:szCs w:val="17"/>
                <w:lang w:val="en-GB"/>
              </w:rPr>
              <w:t xml:space="preserve">: </w:t>
            </w:r>
          </w:p>
          <w:p w14:paraId="34C83137" w14:textId="77777777" w:rsidR="00071A01" w:rsidRPr="00513BF4" w:rsidRDefault="00071A01" w:rsidP="00F906B4">
            <w:pPr>
              <w:pStyle w:val="ListParagraph"/>
              <w:numPr>
                <w:ilvl w:val="0"/>
                <w:numId w:val="14"/>
              </w:numPr>
              <w:jc w:val="both"/>
              <w:rPr>
                <w:sz w:val="17"/>
                <w:szCs w:val="17"/>
                <w:lang w:val="en-GB"/>
              </w:rPr>
            </w:pPr>
            <w:r w:rsidRPr="00513BF4">
              <w:rPr>
                <w:sz w:val="17"/>
                <w:szCs w:val="17"/>
                <w:lang w:val="en-GB"/>
              </w:rPr>
              <w:t>CVA to cover direct and indirect costs for health services</w:t>
            </w:r>
          </w:p>
          <w:p w14:paraId="7F14C92B" w14:textId="77777777" w:rsidR="00071A01" w:rsidRPr="00513BF4" w:rsidRDefault="00071A01" w:rsidP="00F906B4">
            <w:pPr>
              <w:pStyle w:val="ListParagraph"/>
              <w:numPr>
                <w:ilvl w:val="0"/>
                <w:numId w:val="14"/>
              </w:numPr>
              <w:jc w:val="both"/>
              <w:rPr>
                <w:sz w:val="17"/>
                <w:szCs w:val="17"/>
                <w:lang w:val="en-GB"/>
              </w:rPr>
            </w:pPr>
            <w:r w:rsidRPr="00513BF4">
              <w:rPr>
                <w:sz w:val="17"/>
                <w:szCs w:val="17"/>
                <w:lang w:val="en-GB"/>
              </w:rPr>
              <w:t>Household CVA</w:t>
            </w:r>
          </w:p>
        </w:tc>
        <w:tc>
          <w:tcPr>
            <w:tcW w:w="3510" w:type="dxa"/>
            <w:vMerge w:val="restart"/>
          </w:tcPr>
          <w:p w14:paraId="5B766DAE" w14:textId="77777777" w:rsidR="00071A01" w:rsidRPr="00513BF4" w:rsidRDefault="00071A01" w:rsidP="00F906B4">
            <w:pPr>
              <w:pStyle w:val="ListParagraph"/>
              <w:numPr>
                <w:ilvl w:val="0"/>
                <w:numId w:val="14"/>
              </w:numPr>
              <w:jc w:val="both"/>
              <w:rPr>
                <w:sz w:val="17"/>
                <w:szCs w:val="17"/>
                <w:lang w:val="en-GB"/>
              </w:rPr>
            </w:pPr>
            <w:r w:rsidRPr="00513BF4">
              <w:rPr>
                <w:sz w:val="17"/>
                <w:szCs w:val="17"/>
                <w:lang w:val="en-GB"/>
              </w:rPr>
              <w:t>Facilitate access to health services</w:t>
            </w:r>
          </w:p>
          <w:p w14:paraId="695A9E2D" w14:textId="77777777" w:rsidR="00071A01" w:rsidRPr="00513BF4" w:rsidRDefault="00071A01" w:rsidP="00F906B4">
            <w:pPr>
              <w:pStyle w:val="ListParagraph"/>
              <w:numPr>
                <w:ilvl w:val="0"/>
                <w:numId w:val="14"/>
              </w:numPr>
              <w:jc w:val="both"/>
              <w:rPr>
                <w:sz w:val="17"/>
                <w:szCs w:val="17"/>
                <w:lang w:val="en-GB"/>
              </w:rPr>
            </w:pPr>
            <w:r w:rsidRPr="00513BF4">
              <w:rPr>
                <w:sz w:val="17"/>
                <w:szCs w:val="17"/>
                <w:lang w:val="en-GB"/>
              </w:rPr>
              <w:t>Cover direct costs for health services</w:t>
            </w:r>
          </w:p>
          <w:p w14:paraId="547308C0" w14:textId="77777777" w:rsidR="00071A01" w:rsidRPr="00513BF4" w:rsidRDefault="00071A01" w:rsidP="00F906B4">
            <w:pPr>
              <w:pStyle w:val="ListParagraph"/>
              <w:numPr>
                <w:ilvl w:val="0"/>
                <w:numId w:val="14"/>
              </w:numPr>
              <w:jc w:val="both"/>
              <w:rPr>
                <w:sz w:val="17"/>
                <w:szCs w:val="17"/>
                <w:lang w:val="en-GB"/>
              </w:rPr>
            </w:pPr>
            <w:r w:rsidRPr="00513BF4">
              <w:rPr>
                <w:sz w:val="17"/>
                <w:szCs w:val="17"/>
                <w:lang w:val="en-GB"/>
              </w:rPr>
              <w:t>Cover transportation costs</w:t>
            </w:r>
          </w:p>
          <w:p w14:paraId="5C2396DF" w14:textId="77777777" w:rsidR="00071A01" w:rsidRPr="00513BF4" w:rsidRDefault="00071A01" w:rsidP="00F906B4">
            <w:pPr>
              <w:pStyle w:val="ListParagraph"/>
              <w:numPr>
                <w:ilvl w:val="0"/>
                <w:numId w:val="14"/>
              </w:numPr>
              <w:jc w:val="both"/>
              <w:rPr>
                <w:sz w:val="17"/>
                <w:szCs w:val="17"/>
                <w:lang w:val="en-GB"/>
              </w:rPr>
            </w:pPr>
            <w:r w:rsidRPr="00513BF4">
              <w:rPr>
                <w:sz w:val="17"/>
                <w:szCs w:val="17"/>
                <w:lang w:val="en-GB"/>
              </w:rPr>
              <w:t>In-patient care: cover food and accommodation costs of caregivers</w:t>
            </w:r>
          </w:p>
          <w:p w14:paraId="5C5FE325" w14:textId="77777777" w:rsidR="00071A01" w:rsidRPr="00513BF4" w:rsidRDefault="00071A01" w:rsidP="00F906B4">
            <w:pPr>
              <w:pStyle w:val="ListParagraph"/>
              <w:numPr>
                <w:ilvl w:val="0"/>
                <w:numId w:val="14"/>
              </w:numPr>
              <w:jc w:val="both"/>
              <w:rPr>
                <w:sz w:val="17"/>
                <w:szCs w:val="17"/>
                <w:lang w:val="en-GB"/>
              </w:rPr>
            </w:pPr>
            <w:r w:rsidRPr="00513BF4">
              <w:rPr>
                <w:sz w:val="17"/>
                <w:szCs w:val="17"/>
                <w:lang w:val="en-GB"/>
              </w:rPr>
              <w:t>Reduce opportunity costs</w:t>
            </w:r>
          </w:p>
        </w:tc>
      </w:tr>
      <w:tr w:rsidR="00071A01" w:rsidRPr="00513BF4" w14:paraId="31537105" w14:textId="77777777" w:rsidTr="00CF3A25">
        <w:tc>
          <w:tcPr>
            <w:tcW w:w="1749" w:type="dxa"/>
            <w:shd w:val="clear" w:color="auto" w:fill="F7CAAC" w:themeFill="accent2" w:themeFillTint="66"/>
          </w:tcPr>
          <w:p w14:paraId="5B11C2EA" w14:textId="14600D8D" w:rsidR="00071A01" w:rsidRPr="00513BF4" w:rsidRDefault="00071A01" w:rsidP="00F906B4">
            <w:pPr>
              <w:jc w:val="both"/>
              <w:rPr>
                <w:sz w:val="17"/>
                <w:szCs w:val="17"/>
                <w:lang w:val="en-GB"/>
              </w:rPr>
            </w:pPr>
            <w:r w:rsidRPr="00513BF4">
              <w:rPr>
                <w:sz w:val="17"/>
                <w:szCs w:val="17"/>
                <w:lang w:val="en-GB"/>
              </w:rPr>
              <w:t>Therapeutic care</w:t>
            </w:r>
            <w:r w:rsidR="003F202C" w:rsidRPr="00513BF4">
              <w:rPr>
                <w:sz w:val="18"/>
                <w:szCs w:val="18"/>
                <w:lang w:val="en-GB"/>
              </w:rPr>
              <w:t xml:space="preserve"> </w:t>
            </w:r>
            <w:r w:rsidRPr="00513BF4">
              <w:rPr>
                <w:sz w:val="18"/>
                <w:szCs w:val="18"/>
                <w:lang w:val="en-GB"/>
              </w:rPr>
              <w:t>(SAM treatment)</w:t>
            </w:r>
          </w:p>
        </w:tc>
        <w:tc>
          <w:tcPr>
            <w:tcW w:w="2026" w:type="dxa"/>
          </w:tcPr>
          <w:p w14:paraId="536F6140" w14:textId="4FEC6A06" w:rsidR="00071A01" w:rsidRPr="00513BF4" w:rsidRDefault="00034937" w:rsidP="00F906B4">
            <w:pPr>
              <w:pStyle w:val="ListParagraph"/>
              <w:numPr>
                <w:ilvl w:val="0"/>
                <w:numId w:val="16"/>
              </w:numPr>
              <w:jc w:val="both"/>
              <w:rPr>
                <w:sz w:val="17"/>
                <w:szCs w:val="17"/>
                <w:lang w:val="en-GB"/>
              </w:rPr>
            </w:pPr>
            <w:r>
              <w:rPr>
                <w:sz w:val="17"/>
                <w:szCs w:val="17"/>
                <w:lang w:val="en-GB"/>
              </w:rPr>
              <w:t>Treatment</w:t>
            </w:r>
            <w:r w:rsidR="00071A01" w:rsidRPr="00513BF4">
              <w:rPr>
                <w:sz w:val="17"/>
                <w:szCs w:val="17"/>
                <w:lang w:val="en-GB"/>
              </w:rPr>
              <w:t xml:space="preserve"> </w:t>
            </w:r>
            <w:r w:rsidR="009E42FC">
              <w:rPr>
                <w:sz w:val="17"/>
                <w:szCs w:val="17"/>
                <w:lang w:val="en-GB"/>
              </w:rPr>
              <w:t>of SAM</w:t>
            </w:r>
            <w:r w:rsidR="00071A01" w:rsidRPr="00513BF4">
              <w:rPr>
                <w:sz w:val="17"/>
                <w:szCs w:val="17"/>
                <w:lang w:val="en-GB"/>
              </w:rPr>
              <w:t xml:space="preserve"> </w:t>
            </w:r>
          </w:p>
          <w:p w14:paraId="72F2B0B5" w14:textId="77777777" w:rsidR="00071A01" w:rsidRPr="00513BF4" w:rsidRDefault="00071A01" w:rsidP="00F906B4">
            <w:pPr>
              <w:pStyle w:val="ListParagraph"/>
              <w:numPr>
                <w:ilvl w:val="0"/>
                <w:numId w:val="16"/>
              </w:numPr>
              <w:jc w:val="both"/>
              <w:rPr>
                <w:sz w:val="17"/>
                <w:szCs w:val="17"/>
                <w:lang w:val="en-GB"/>
              </w:rPr>
            </w:pPr>
            <w:r w:rsidRPr="00513BF4">
              <w:rPr>
                <w:sz w:val="17"/>
                <w:szCs w:val="17"/>
                <w:lang w:val="en-GB"/>
              </w:rPr>
              <w:t>SNF: RUTF</w:t>
            </w:r>
          </w:p>
        </w:tc>
        <w:tc>
          <w:tcPr>
            <w:tcW w:w="2700" w:type="dxa"/>
            <w:vMerge/>
          </w:tcPr>
          <w:p w14:paraId="63721580" w14:textId="77777777" w:rsidR="00071A01" w:rsidRPr="00513BF4" w:rsidRDefault="00071A01" w:rsidP="00F906B4">
            <w:pPr>
              <w:pStyle w:val="ListParagraph"/>
              <w:numPr>
                <w:ilvl w:val="0"/>
                <w:numId w:val="25"/>
              </w:numPr>
              <w:jc w:val="both"/>
              <w:rPr>
                <w:bCs/>
                <w:sz w:val="17"/>
                <w:szCs w:val="17"/>
                <w:lang w:val="en-GB"/>
              </w:rPr>
            </w:pPr>
          </w:p>
        </w:tc>
        <w:tc>
          <w:tcPr>
            <w:tcW w:w="3510" w:type="dxa"/>
            <w:vMerge/>
          </w:tcPr>
          <w:p w14:paraId="2AAFB22F" w14:textId="77777777" w:rsidR="00071A01" w:rsidRPr="00513BF4" w:rsidRDefault="00071A01" w:rsidP="00F906B4">
            <w:pPr>
              <w:pStyle w:val="ListParagraph"/>
              <w:numPr>
                <w:ilvl w:val="0"/>
                <w:numId w:val="13"/>
              </w:numPr>
              <w:jc w:val="both"/>
              <w:rPr>
                <w:sz w:val="17"/>
                <w:szCs w:val="17"/>
                <w:lang w:val="en-GB"/>
              </w:rPr>
            </w:pPr>
          </w:p>
        </w:tc>
      </w:tr>
      <w:tr w:rsidR="00071A01" w:rsidRPr="00513BF4" w14:paraId="43549F8B" w14:textId="77777777" w:rsidTr="00CF3A25">
        <w:tc>
          <w:tcPr>
            <w:tcW w:w="1749" w:type="dxa"/>
            <w:shd w:val="clear" w:color="auto" w:fill="F7CAAC" w:themeFill="accent2" w:themeFillTint="66"/>
          </w:tcPr>
          <w:p w14:paraId="69238C47" w14:textId="647C872A" w:rsidR="00071A01" w:rsidRPr="00513BF4" w:rsidRDefault="00071A01" w:rsidP="00F906B4">
            <w:pPr>
              <w:jc w:val="both"/>
              <w:rPr>
                <w:sz w:val="17"/>
                <w:szCs w:val="17"/>
                <w:lang w:val="en-GB"/>
              </w:rPr>
            </w:pPr>
            <w:r w:rsidRPr="00513BF4">
              <w:rPr>
                <w:sz w:val="17"/>
                <w:szCs w:val="17"/>
                <w:lang w:val="en-GB"/>
              </w:rPr>
              <w:t>Treatment of micro-nutrient deficiency disease</w:t>
            </w:r>
          </w:p>
        </w:tc>
        <w:tc>
          <w:tcPr>
            <w:tcW w:w="2026" w:type="dxa"/>
          </w:tcPr>
          <w:p w14:paraId="13C97A3B" w14:textId="77777777" w:rsidR="00071A01" w:rsidRPr="00513BF4" w:rsidRDefault="00071A01" w:rsidP="00F906B4">
            <w:pPr>
              <w:pStyle w:val="ListParagraph"/>
              <w:numPr>
                <w:ilvl w:val="0"/>
                <w:numId w:val="17"/>
              </w:numPr>
              <w:jc w:val="both"/>
              <w:rPr>
                <w:sz w:val="17"/>
                <w:szCs w:val="17"/>
                <w:lang w:val="en-GB"/>
              </w:rPr>
            </w:pPr>
            <w:r w:rsidRPr="00513BF4">
              <w:rPr>
                <w:sz w:val="17"/>
                <w:szCs w:val="17"/>
                <w:lang w:val="en-GB"/>
              </w:rPr>
              <w:t xml:space="preserve">Health service </w:t>
            </w:r>
          </w:p>
          <w:p w14:paraId="3362D545" w14:textId="77777777" w:rsidR="00071A01" w:rsidRPr="00513BF4" w:rsidRDefault="00071A01" w:rsidP="00F906B4">
            <w:pPr>
              <w:pStyle w:val="ListParagraph"/>
              <w:numPr>
                <w:ilvl w:val="0"/>
                <w:numId w:val="17"/>
              </w:numPr>
              <w:jc w:val="both"/>
              <w:rPr>
                <w:sz w:val="17"/>
                <w:szCs w:val="17"/>
                <w:lang w:val="en-GB"/>
              </w:rPr>
            </w:pPr>
            <w:r w:rsidRPr="00513BF4">
              <w:rPr>
                <w:sz w:val="17"/>
                <w:szCs w:val="17"/>
                <w:lang w:val="en-GB"/>
              </w:rPr>
              <w:t xml:space="preserve">Oral supplement tablet or capsule </w:t>
            </w:r>
          </w:p>
        </w:tc>
        <w:tc>
          <w:tcPr>
            <w:tcW w:w="2700" w:type="dxa"/>
            <w:vMerge/>
          </w:tcPr>
          <w:p w14:paraId="719C7581" w14:textId="77777777" w:rsidR="00071A01" w:rsidRPr="00513BF4" w:rsidRDefault="00071A01" w:rsidP="00F906B4">
            <w:pPr>
              <w:pStyle w:val="ListParagraph"/>
              <w:numPr>
                <w:ilvl w:val="0"/>
                <w:numId w:val="25"/>
              </w:numPr>
              <w:jc w:val="both"/>
              <w:rPr>
                <w:sz w:val="17"/>
                <w:szCs w:val="17"/>
                <w:lang w:val="en-GB"/>
              </w:rPr>
            </w:pPr>
          </w:p>
        </w:tc>
        <w:tc>
          <w:tcPr>
            <w:tcW w:w="3510" w:type="dxa"/>
            <w:vMerge/>
          </w:tcPr>
          <w:p w14:paraId="1A54D3F8" w14:textId="77777777" w:rsidR="00071A01" w:rsidRPr="00513BF4" w:rsidRDefault="00071A01" w:rsidP="00F906B4">
            <w:pPr>
              <w:pStyle w:val="ListParagraph"/>
              <w:numPr>
                <w:ilvl w:val="0"/>
                <w:numId w:val="14"/>
              </w:numPr>
              <w:jc w:val="both"/>
              <w:rPr>
                <w:sz w:val="17"/>
                <w:szCs w:val="17"/>
                <w:lang w:val="en-GB"/>
              </w:rPr>
            </w:pPr>
          </w:p>
        </w:tc>
      </w:tr>
    </w:tbl>
    <w:p w14:paraId="76B47A1D" w14:textId="3916F228" w:rsidR="00B2471A" w:rsidRPr="00513BF4" w:rsidRDefault="00FC3FFB" w:rsidP="00F906B4">
      <w:pPr>
        <w:jc w:val="both"/>
        <w:rPr>
          <w:lang w:val="en-GB"/>
        </w:rPr>
      </w:pPr>
      <w:r w:rsidRPr="00513BF4">
        <w:rPr>
          <w:lang w:val="en-GB"/>
        </w:rPr>
        <w:t xml:space="preserve">Table </w:t>
      </w:r>
      <w:r w:rsidR="008556A0" w:rsidRPr="00513BF4">
        <w:rPr>
          <w:lang w:val="en-GB"/>
        </w:rPr>
        <w:t>2</w:t>
      </w:r>
      <w:r w:rsidRPr="00513BF4">
        <w:rPr>
          <w:lang w:val="en-GB"/>
        </w:rPr>
        <w:t xml:space="preserve">. </w:t>
      </w:r>
      <w:r w:rsidR="00077130" w:rsidRPr="00513BF4">
        <w:rPr>
          <w:lang w:val="en-GB"/>
        </w:rPr>
        <w:t>The role of CVA in different nutrition response options</w:t>
      </w:r>
      <w:r w:rsidR="004F2179" w:rsidRPr="00513BF4">
        <w:rPr>
          <w:lang w:val="en-GB"/>
        </w:rPr>
        <w:t xml:space="preserve"> (GNC, 2020)</w:t>
      </w:r>
    </w:p>
    <w:p w14:paraId="0831F06F" w14:textId="77777777" w:rsidR="00CF504E" w:rsidRPr="00513BF4" w:rsidRDefault="00CF504E" w:rsidP="00F906B4">
      <w:pPr>
        <w:jc w:val="both"/>
        <w:rPr>
          <w:lang w:val="en-GB"/>
        </w:rPr>
      </w:pPr>
    </w:p>
    <w:p w14:paraId="678FECE6" w14:textId="05029228" w:rsidR="00EE5317" w:rsidRPr="00513BF4" w:rsidRDefault="00EE5317" w:rsidP="00F906B4">
      <w:pPr>
        <w:pStyle w:val="Heading1"/>
        <w:jc w:val="both"/>
        <w:rPr>
          <w:lang w:val="en-GB"/>
        </w:rPr>
      </w:pPr>
      <w:bookmarkStart w:id="2" w:name="_Toc46392133"/>
      <w:r w:rsidRPr="00513BF4">
        <w:rPr>
          <w:lang w:val="en-GB"/>
        </w:rPr>
        <w:t xml:space="preserve">The use of CVA in the nutrition response in </w:t>
      </w:r>
      <w:r w:rsidR="00147195" w:rsidRPr="00513BF4">
        <w:rPr>
          <w:lang w:val="en-GB"/>
        </w:rPr>
        <w:t>Somalia</w:t>
      </w:r>
      <w:bookmarkEnd w:id="2"/>
    </w:p>
    <w:p w14:paraId="765B410B" w14:textId="06C61792" w:rsidR="00CF504E" w:rsidRPr="00513BF4" w:rsidRDefault="00CF504E" w:rsidP="00F906B4">
      <w:pPr>
        <w:jc w:val="both"/>
        <w:rPr>
          <w:lang w:val="en-GB"/>
        </w:rPr>
      </w:pPr>
      <w:r w:rsidRPr="00513BF4">
        <w:rPr>
          <w:lang w:val="en-GB"/>
        </w:rPr>
        <w:t xml:space="preserve">Different partners have in the past years used cash and voucher </w:t>
      </w:r>
      <w:r w:rsidR="001F15C1" w:rsidRPr="00513BF4">
        <w:rPr>
          <w:lang w:val="en-GB"/>
        </w:rPr>
        <w:t>assistance,</w:t>
      </w:r>
      <w:r w:rsidRPr="00513BF4">
        <w:rPr>
          <w:lang w:val="en-GB"/>
        </w:rPr>
        <w:t xml:space="preserve"> as part of their nutrition response to prevent and treat malnutrition and the number of projects seems to be increasing. The projects reviewed as part of the case study (see project list in chapter </w:t>
      </w:r>
      <w:r w:rsidR="00097A62" w:rsidRPr="00513BF4">
        <w:rPr>
          <w:lang w:val="en-GB"/>
        </w:rPr>
        <w:t>1</w:t>
      </w:r>
      <w:r w:rsidRPr="00513BF4">
        <w:rPr>
          <w:lang w:val="en-GB"/>
        </w:rPr>
        <w:t xml:space="preserve">) can be broadly categorized as follows: </w:t>
      </w:r>
      <w:r w:rsidR="00FA0E43" w:rsidRPr="00513BF4">
        <w:rPr>
          <w:lang w:val="en-GB"/>
        </w:rPr>
        <w:t>pairing</w:t>
      </w:r>
      <w:r w:rsidRPr="00513BF4">
        <w:rPr>
          <w:lang w:val="en-GB"/>
        </w:rPr>
        <w:t xml:space="preserve"> </w:t>
      </w:r>
      <w:r w:rsidR="00F8056B" w:rsidRPr="00513BF4">
        <w:rPr>
          <w:lang w:val="en-GB"/>
        </w:rPr>
        <w:t>CVA</w:t>
      </w:r>
      <w:r w:rsidRPr="00513BF4">
        <w:rPr>
          <w:lang w:val="en-GB"/>
        </w:rPr>
        <w:t xml:space="preserve"> </w:t>
      </w:r>
      <w:r w:rsidR="00F8056B" w:rsidRPr="00513BF4">
        <w:rPr>
          <w:lang w:val="en-GB"/>
        </w:rPr>
        <w:t xml:space="preserve">(at household or individual level) </w:t>
      </w:r>
      <w:r w:rsidRPr="00513BF4">
        <w:rPr>
          <w:lang w:val="en-GB"/>
        </w:rPr>
        <w:t xml:space="preserve">with nutrition social and behavioural change </w:t>
      </w:r>
      <w:r w:rsidR="00097A62" w:rsidRPr="00513BF4">
        <w:rPr>
          <w:lang w:val="en-GB"/>
        </w:rPr>
        <w:t>(SBC)</w:t>
      </w:r>
      <w:r w:rsidRPr="00513BF4">
        <w:rPr>
          <w:lang w:val="en-GB"/>
        </w:rPr>
        <w:t xml:space="preserve">, </w:t>
      </w:r>
      <w:r w:rsidR="00EA042C" w:rsidRPr="00513BF4">
        <w:rPr>
          <w:lang w:val="en-GB"/>
        </w:rPr>
        <w:t>pairing household assistance</w:t>
      </w:r>
      <w:r w:rsidR="00016825" w:rsidRPr="00513BF4">
        <w:rPr>
          <w:rStyle w:val="FootnoteReference"/>
          <w:lang w:val="en-GB"/>
        </w:rPr>
        <w:footnoteReference w:id="6"/>
      </w:r>
      <w:r w:rsidR="00EA042C" w:rsidRPr="00513BF4">
        <w:rPr>
          <w:lang w:val="en-GB"/>
        </w:rPr>
        <w:t xml:space="preserve"> with individual feeding assistance</w:t>
      </w:r>
      <w:r w:rsidR="00016825" w:rsidRPr="00513BF4">
        <w:rPr>
          <w:rStyle w:val="FootnoteReference"/>
          <w:lang w:val="en-GB"/>
        </w:rPr>
        <w:footnoteReference w:id="7"/>
      </w:r>
      <w:r w:rsidR="00F8056B" w:rsidRPr="00513BF4">
        <w:rPr>
          <w:lang w:val="en-GB"/>
        </w:rPr>
        <w:t>, and providing cash transfers in combination with SAM treatment.</w:t>
      </w:r>
    </w:p>
    <w:p w14:paraId="5A92C804" w14:textId="19E056DB" w:rsidR="00AA6719" w:rsidRPr="00513BF4" w:rsidRDefault="00AA6719" w:rsidP="00F906B4">
      <w:pPr>
        <w:jc w:val="both"/>
        <w:rPr>
          <w:lang w:val="en-GB"/>
        </w:rPr>
      </w:pPr>
    </w:p>
    <w:p w14:paraId="4E70C774" w14:textId="77FA66E6" w:rsidR="00574E4C" w:rsidRPr="00513BF4" w:rsidRDefault="003E052B" w:rsidP="00F906B4">
      <w:pPr>
        <w:pStyle w:val="Heading2"/>
        <w:jc w:val="both"/>
        <w:rPr>
          <w:lang w:val="en-GB"/>
        </w:rPr>
      </w:pPr>
      <w:bookmarkStart w:id="3" w:name="_Toc46392134"/>
      <w:r w:rsidRPr="00513BF4">
        <w:rPr>
          <w:lang w:val="en-GB"/>
        </w:rPr>
        <w:t>Pairing</w:t>
      </w:r>
      <w:r w:rsidR="00574E4C" w:rsidRPr="00513BF4">
        <w:rPr>
          <w:lang w:val="en-GB"/>
        </w:rPr>
        <w:t xml:space="preserve"> </w:t>
      </w:r>
      <w:r w:rsidR="00CE4076" w:rsidRPr="00513BF4">
        <w:rPr>
          <w:lang w:val="en-GB"/>
        </w:rPr>
        <w:t>household cash transfer</w:t>
      </w:r>
      <w:r w:rsidRPr="00513BF4">
        <w:rPr>
          <w:lang w:val="en-GB"/>
        </w:rPr>
        <w:t xml:space="preserve"> </w:t>
      </w:r>
      <w:r w:rsidR="00574E4C" w:rsidRPr="00513BF4">
        <w:rPr>
          <w:lang w:val="en-GB"/>
        </w:rPr>
        <w:t xml:space="preserve">with </w:t>
      </w:r>
      <w:r w:rsidR="00CE4076" w:rsidRPr="00513BF4">
        <w:rPr>
          <w:lang w:val="en-GB"/>
        </w:rPr>
        <w:t>SBC</w:t>
      </w:r>
      <w:r w:rsidR="00574E4C" w:rsidRPr="00513BF4">
        <w:rPr>
          <w:lang w:val="en-GB"/>
        </w:rPr>
        <w:t xml:space="preserve"> </w:t>
      </w:r>
      <w:r w:rsidR="00E5774E" w:rsidRPr="00513BF4">
        <w:rPr>
          <w:lang w:val="en-GB"/>
        </w:rPr>
        <w:t>(and other measures)</w:t>
      </w:r>
      <w:bookmarkEnd w:id="3"/>
    </w:p>
    <w:p w14:paraId="4B5B0472" w14:textId="3C107411" w:rsidR="00D4258D" w:rsidRPr="00513BF4" w:rsidRDefault="00941069" w:rsidP="00F906B4">
      <w:pPr>
        <w:jc w:val="both"/>
        <w:rPr>
          <w:lang w:val="en-GB"/>
        </w:rPr>
      </w:pPr>
      <w:r w:rsidRPr="00513BF4">
        <w:rPr>
          <w:lang w:val="en-GB"/>
        </w:rPr>
        <w:t>There is relatively strong peer-reviewed and operational evidence from humanitarian and development settings that pairing household cash transfers with SBC can be an effective strategy to improve nutrition outcomes of children. The two components seem to mutually reinforce each other in the sense that the SBC component seems to promote nutrition-sensitive and child/women-centred spending decisions while the cash transfer allows caregivers to put some of the acquired knowledge and skills into practice.</w:t>
      </w:r>
    </w:p>
    <w:p w14:paraId="2A646D3A" w14:textId="183D559E" w:rsidR="00CF504E" w:rsidRDefault="00941069" w:rsidP="00F906B4">
      <w:pPr>
        <w:jc w:val="both"/>
        <w:rPr>
          <w:lang w:val="en-GB"/>
        </w:rPr>
      </w:pPr>
      <w:r w:rsidRPr="00513BF4">
        <w:rPr>
          <w:lang w:val="en-GB"/>
        </w:rPr>
        <w:t xml:space="preserve">Most reviewed projects in the context of Somalia included an SBC component. FAO in Somalia is implementing a programme that combines a monthly household cash transfer over 3-6 months with nutrition SBC activities. The programme further provides a livelihood support package tailored to livelihood group, technical training on different livelihood activity and technical training, aiming to restore the food production of shock-affected vulnerable communities. SBC activities aim to improve food choices and utilization and include nutrition and food safety messages and cooking demonstrations. They are implemented through community nutrition champions who were previously trained. The SBC trainings </w:t>
      </w:r>
      <w:r w:rsidRPr="00513BF4">
        <w:rPr>
          <w:lang w:val="en-GB"/>
        </w:rPr>
        <w:lastRenderedPageBreak/>
        <w:t>and activities focus on the different nutrition needs of people throughout the life cycle (i.e. from infancy to old age), with an emphasis on women and children.</w:t>
      </w:r>
    </w:p>
    <w:p w14:paraId="4E9D19B9" w14:textId="4BEF64A0" w:rsidR="00366A0D" w:rsidRDefault="00366A0D" w:rsidP="00F906B4">
      <w:pPr>
        <w:jc w:val="both"/>
        <w:rPr>
          <w:lang w:val="en-GB"/>
        </w:rPr>
      </w:pPr>
      <w:r w:rsidRPr="00513BF4">
        <w:rPr>
          <w:lang w:val="en-GB"/>
        </w:rPr>
        <w:t>The CINS research</w:t>
      </w:r>
      <w:r w:rsidR="00B45484">
        <w:rPr>
          <w:lang w:val="en-GB"/>
        </w:rPr>
        <w:t xml:space="preserve"> (UCL and Concern, 2020)</w:t>
      </w:r>
      <w:r w:rsidRPr="00513BF4">
        <w:rPr>
          <w:lang w:val="en-GB"/>
        </w:rPr>
        <w:t xml:space="preserve"> piloted an SBC intervention that was delivered through weekly voice message (mHealth). These messages were sent directly to caregivers’ cell phones and covered the following topics: vaccinations, IYCF, WASH, health seeking, prevention, recognition and treatment of acute malnutrition, and maximizing health and nutrition for all household members. </w:t>
      </w:r>
      <w:r w:rsidRPr="00366A0D">
        <w:rPr>
          <w:lang w:val="en-GB"/>
        </w:rPr>
        <w:t>The mHealth intervention did not have any measurable impact on knowledge of health and nutrition topics among mothers/caregivers of children aged &lt;5 years.</w:t>
      </w:r>
      <w:r>
        <w:rPr>
          <w:lang w:val="en-GB"/>
        </w:rPr>
        <w:t xml:space="preserve"> </w:t>
      </w:r>
      <w:r w:rsidRPr="00C30FD8">
        <w:rPr>
          <w:lang w:val="en-GB"/>
        </w:rPr>
        <w:t>It did however lead to an increase in household expenditure on food and an improvement in the child dietary diversity score, as well as significantly reducing the risk of mortality in children aged &lt;5 years.</w:t>
      </w:r>
      <w:r>
        <w:rPr>
          <w:lang w:val="en-GB"/>
        </w:rPr>
        <w:t xml:space="preserve"> </w:t>
      </w:r>
    </w:p>
    <w:p w14:paraId="638CFF16" w14:textId="77777777" w:rsidR="00CE4076" w:rsidRPr="00513BF4" w:rsidRDefault="00CE4076" w:rsidP="00CE4076">
      <w:pPr>
        <w:jc w:val="both"/>
        <w:rPr>
          <w:lang w:val="en-GB"/>
        </w:rPr>
      </w:pPr>
    </w:p>
    <w:p w14:paraId="46B6C470" w14:textId="509FC81E" w:rsidR="00432A8B" w:rsidRPr="00513BF4" w:rsidRDefault="005A24BD" w:rsidP="00F906B4">
      <w:pPr>
        <w:pStyle w:val="Heading2"/>
        <w:jc w:val="both"/>
        <w:rPr>
          <w:lang w:val="en-GB"/>
        </w:rPr>
      </w:pPr>
      <w:bookmarkStart w:id="4" w:name="_Toc46392135"/>
      <w:r w:rsidRPr="00513BF4">
        <w:rPr>
          <w:lang w:val="en-GB"/>
        </w:rPr>
        <w:t>Pairing</w:t>
      </w:r>
      <w:r w:rsidR="00574E4C" w:rsidRPr="00513BF4">
        <w:rPr>
          <w:lang w:val="en-GB"/>
        </w:rPr>
        <w:t xml:space="preserve"> </w:t>
      </w:r>
      <w:r w:rsidR="00D4258D" w:rsidRPr="00513BF4">
        <w:rPr>
          <w:lang w:val="en-GB"/>
        </w:rPr>
        <w:t>household assistance with individual feeding assistance</w:t>
      </w:r>
      <w:bookmarkEnd w:id="4"/>
    </w:p>
    <w:p w14:paraId="4292686F" w14:textId="61B490DD" w:rsidR="00941069" w:rsidRPr="00513BF4" w:rsidRDefault="00B90397" w:rsidP="00F906B4">
      <w:pPr>
        <w:jc w:val="both"/>
        <w:rPr>
          <w:lang w:val="en-GB"/>
        </w:rPr>
      </w:pPr>
      <w:r w:rsidRPr="00513BF4">
        <w:rPr>
          <w:lang w:val="en-GB"/>
        </w:rPr>
        <w:t xml:space="preserve">A common preventative strategy utilized in various contexts is to combine household assistance (in-kind food, cash or voucher) with individual feeding assistance (usually provided through specialized nutritious foods) targeting at risk groups within households. CVA modalities can in principle be used for both components. Individual feeding assistance through CVA can be provided through cash top-ups or vouchers for fresh food or locally available </w:t>
      </w:r>
      <w:r w:rsidR="00164AE7" w:rsidRPr="00513BF4">
        <w:rPr>
          <w:lang w:val="en-GB"/>
        </w:rPr>
        <w:t>fortified</w:t>
      </w:r>
      <w:r w:rsidRPr="00513BF4">
        <w:rPr>
          <w:lang w:val="en-GB"/>
        </w:rPr>
        <w:t xml:space="preserve"> food corresponding to the macro- and micro-nutrient value of the supplementary food ration.</w:t>
      </w:r>
    </w:p>
    <w:p w14:paraId="54A3562E" w14:textId="67F0638D" w:rsidR="00B90397" w:rsidRPr="00513BF4" w:rsidRDefault="00B90397" w:rsidP="00F906B4">
      <w:pPr>
        <w:jc w:val="both"/>
        <w:rPr>
          <w:lang w:val="en-GB"/>
        </w:rPr>
      </w:pPr>
      <w:r w:rsidRPr="00513BF4">
        <w:rPr>
          <w:lang w:val="en-GB"/>
        </w:rPr>
        <w:t>WFP started to use fresh food vouchers</w:t>
      </w:r>
      <w:r w:rsidR="00073270" w:rsidRPr="00513BF4">
        <w:rPr>
          <w:lang w:val="en-GB"/>
        </w:rPr>
        <w:t xml:space="preserve"> (FFV)</w:t>
      </w:r>
      <w:r w:rsidRPr="00513BF4">
        <w:rPr>
          <w:lang w:val="en-GB"/>
        </w:rPr>
        <w:t xml:space="preserve"> to assist pregnant and lactating women in 2016.  FFV (e-vegetables) are provided </w:t>
      </w:r>
      <w:r w:rsidR="009844F5">
        <w:rPr>
          <w:lang w:val="en-GB"/>
        </w:rPr>
        <w:t>together with specialized nutrition products (</w:t>
      </w:r>
      <w:proofErr w:type="spellStart"/>
      <w:r w:rsidR="009844F5">
        <w:t>Plumpy</w:t>
      </w:r>
      <w:proofErr w:type="spellEnd"/>
      <w:r w:rsidR="009844F5">
        <w:t xml:space="preserve"> </w:t>
      </w:r>
      <w:proofErr w:type="spellStart"/>
      <w:r w:rsidR="009844F5">
        <w:t>doz</w:t>
      </w:r>
      <w:proofErr w:type="spellEnd"/>
      <w:r w:rsidR="009844F5">
        <w:t xml:space="preserve"> for</w:t>
      </w:r>
      <w:r w:rsidR="009844F5">
        <w:t xml:space="preserve"> children under two and super cereal plus for PLW</w:t>
      </w:r>
      <w:r w:rsidR="009844F5">
        <w:t>)</w:t>
      </w:r>
      <w:r w:rsidRPr="00513BF4">
        <w:rPr>
          <w:lang w:val="en-GB"/>
        </w:rPr>
        <w:t xml:space="preserve"> during pregnancy and until 6 months after the delivery. They aim to diversity diets and behaviour change. Voucher assistance is conditional on the attendance to Mother and Child Health and Nutrition centres, where women receive preventative health services (including ANC, PNC, growth monitoring and immunization) alongside SBC activities on health, nutrition and diet</w:t>
      </w:r>
      <w:r w:rsidR="00CF3A25" w:rsidRPr="00513BF4">
        <w:rPr>
          <w:lang w:val="en-GB"/>
        </w:rPr>
        <w:t>ary</w:t>
      </w:r>
      <w:r w:rsidRPr="00513BF4">
        <w:rPr>
          <w:lang w:val="en-GB"/>
        </w:rPr>
        <w:t xml:space="preserve"> diversity.</w:t>
      </w:r>
      <w:r w:rsidR="00CF3A25" w:rsidRPr="00513BF4">
        <w:rPr>
          <w:lang w:val="en-GB"/>
        </w:rPr>
        <w:t xml:space="preserve"> Project monitoring from November 2019 shows that 23.7 percent of children 6-23 months consumed minimum acceptable diet compared to the national MAD rate of 9 percent. The results also revealed that 68% of women met the minimum dietary diversity (MDD-W) threshold of having consumed more than 5 food groups out of 10 in the past 24 hours. </w:t>
      </w:r>
    </w:p>
    <w:p w14:paraId="56F5B836" w14:textId="35625F9D" w:rsidR="001C62D0" w:rsidRPr="00513BF4" w:rsidRDefault="00753B2B" w:rsidP="00F906B4">
      <w:pPr>
        <w:jc w:val="both"/>
        <w:rPr>
          <w:lang w:val="en-GB"/>
        </w:rPr>
      </w:pPr>
      <w:r w:rsidRPr="00513BF4">
        <w:rPr>
          <w:lang w:val="en-GB"/>
        </w:rPr>
        <w:t xml:space="preserve">To prevent further deterioration in the nutrition situation and reduce malnutrition prevalence (2017-2018), the ICRC designed a two-phase intervention using an unconditional cash transfers, food vouchers and SNF. Eligible households received an unconditional cash transfer plus BP5 in a first round and commodity food vouchers plus </w:t>
      </w:r>
      <w:proofErr w:type="spellStart"/>
      <w:r w:rsidRPr="00513BF4">
        <w:rPr>
          <w:lang w:val="en-GB"/>
        </w:rPr>
        <w:t>Supercereal</w:t>
      </w:r>
      <w:proofErr w:type="spellEnd"/>
      <w:r w:rsidR="00073270" w:rsidRPr="00513BF4">
        <w:rPr>
          <w:lang w:val="en-GB"/>
        </w:rPr>
        <w:t xml:space="preserve"> (SC)</w:t>
      </w:r>
      <w:r w:rsidRPr="00513BF4">
        <w:rPr>
          <w:lang w:val="en-GB"/>
        </w:rPr>
        <w:t xml:space="preserve"> in a second and third round. </w:t>
      </w:r>
      <w:r w:rsidR="00B35861" w:rsidRPr="00513BF4">
        <w:rPr>
          <w:lang w:val="en-GB"/>
        </w:rPr>
        <w:t xml:space="preserve">Monitoring results showed an important improvement of the GAM and particularly SAM rate among assisted households. The approach of combining commodity food vouchers with </w:t>
      </w:r>
      <w:r w:rsidR="00073270" w:rsidRPr="00513BF4">
        <w:rPr>
          <w:lang w:val="en-GB"/>
        </w:rPr>
        <w:t>SC</w:t>
      </w:r>
      <w:r w:rsidR="00B35861" w:rsidRPr="00513BF4">
        <w:rPr>
          <w:lang w:val="en-GB"/>
        </w:rPr>
        <w:t xml:space="preserve"> was later replicated in other regions, with similar positive results. </w:t>
      </w:r>
    </w:p>
    <w:p w14:paraId="2D6F11D7" w14:textId="2F605BBF" w:rsidR="00D4258D" w:rsidRPr="00513BF4" w:rsidRDefault="00B35861" w:rsidP="00F906B4">
      <w:pPr>
        <w:jc w:val="both"/>
        <w:rPr>
          <w:lang w:val="en-GB"/>
        </w:rPr>
      </w:pPr>
      <w:r w:rsidRPr="00513BF4">
        <w:rPr>
          <w:lang w:val="en-GB"/>
        </w:rPr>
        <w:t xml:space="preserve">A study conducted by </w:t>
      </w:r>
      <w:proofErr w:type="spellStart"/>
      <w:r w:rsidRPr="00513BF4">
        <w:rPr>
          <w:lang w:val="en-GB"/>
        </w:rPr>
        <w:t>Doocy</w:t>
      </w:r>
      <w:proofErr w:type="spellEnd"/>
      <w:r w:rsidRPr="00513BF4">
        <w:rPr>
          <w:lang w:val="en-GB"/>
        </w:rPr>
        <w:t xml:space="preserve"> et al. (</w:t>
      </w:r>
      <w:r w:rsidR="00E5774E" w:rsidRPr="00513BF4">
        <w:rPr>
          <w:lang w:val="en-GB"/>
        </w:rPr>
        <w:t>2020a/b</w:t>
      </w:r>
      <w:r w:rsidRPr="00513BF4">
        <w:rPr>
          <w:lang w:val="en-GB"/>
        </w:rPr>
        <w:t>) in close collaboration with World Vision International examined the impact of CVA on</w:t>
      </w:r>
      <w:r w:rsidR="00CE4076" w:rsidRPr="00513BF4">
        <w:rPr>
          <w:lang w:val="en-GB"/>
        </w:rPr>
        <w:t xml:space="preserve"> the</w:t>
      </w:r>
      <w:r w:rsidRPr="00513BF4">
        <w:rPr>
          <w:lang w:val="en-GB"/>
        </w:rPr>
        <w:t xml:space="preserve"> prevention of child and maternal acute malnutrition in 2017/2018 in the context of the Somalia food crisis. Changes in diet and acute malnutrition were measured over a 4-month period among children age 6–59 months and pregnant and lactating women from households receiving </w:t>
      </w:r>
      <w:r w:rsidR="00CE4076" w:rsidRPr="00513BF4">
        <w:rPr>
          <w:lang w:val="en-GB"/>
        </w:rPr>
        <w:t xml:space="preserve">monthly </w:t>
      </w:r>
      <w:r w:rsidRPr="00513BF4">
        <w:rPr>
          <w:lang w:val="en-GB"/>
        </w:rPr>
        <w:t>household assistance of approximately US$450 (</w:t>
      </w:r>
      <w:r w:rsidR="00CE4076" w:rsidRPr="00513BF4">
        <w:rPr>
          <w:lang w:val="en-GB"/>
        </w:rPr>
        <w:t>cumulative value</w:t>
      </w:r>
      <w:r w:rsidRPr="00513BF4">
        <w:rPr>
          <w:lang w:val="en-GB"/>
        </w:rPr>
        <w:t xml:space="preserve">) delivered either as </w:t>
      </w:r>
      <w:r w:rsidRPr="00513BF4">
        <w:rPr>
          <w:lang w:val="en-GB"/>
        </w:rPr>
        <w:lastRenderedPageBreak/>
        <w:t xml:space="preserve">food vouchers or a mix of in-kind food, vouchers, and cash. </w:t>
      </w:r>
      <w:r w:rsidR="005A24BD" w:rsidRPr="00513BF4">
        <w:rPr>
          <w:lang w:val="en-GB"/>
        </w:rPr>
        <w:t>Overall, t</w:t>
      </w:r>
      <w:r w:rsidRPr="00513BF4">
        <w:rPr>
          <w:lang w:val="en-GB"/>
        </w:rPr>
        <w:t xml:space="preserve">he study found that household food security was similar for both intervention groups at </w:t>
      </w:r>
      <w:proofErr w:type="spellStart"/>
      <w:r w:rsidRPr="00513BF4">
        <w:rPr>
          <w:lang w:val="en-GB"/>
        </w:rPr>
        <w:t>endline</w:t>
      </w:r>
      <w:proofErr w:type="spellEnd"/>
      <w:r w:rsidR="005A24BD" w:rsidRPr="00513BF4">
        <w:rPr>
          <w:lang w:val="en-GB"/>
        </w:rPr>
        <w:t xml:space="preserve"> and that the two interventions had similar preventative effects on child nutrition status. Considering the general preference of cash transfers among beneficiaries and the lower implementation costs of cash transfers, the authors argue that a</w:t>
      </w:r>
      <w:r w:rsidR="00CE4076" w:rsidRPr="00513BF4">
        <w:rPr>
          <w:lang w:val="en-GB"/>
        </w:rPr>
        <w:t>n</w:t>
      </w:r>
      <w:r w:rsidR="005A24BD" w:rsidRPr="00513BF4">
        <w:rPr>
          <w:lang w:val="en-GB"/>
        </w:rPr>
        <w:t xml:space="preserve"> expanded use of cash should be considered. </w:t>
      </w:r>
    </w:p>
    <w:p w14:paraId="2FC05A2E" w14:textId="77777777" w:rsidR="00D4258D" w:rsidRPr="00513BF4" w:rsidRDefault="00D4258D" w:rsidP="00F906B4">
      <w:pPr>
        <w:jc w:val="both"/>
        <w:rPr>
          <w:lang w:val="en-GB"/>
        </w:rPr>
      </w:pPr>
    </w:p>
    <w:p w14:paraId="2C262CF6" w14:textId="269269D7" w:rsidR="00EE5317" w:rsidRPr="00513BF4" w:rsidRDefault="009B5AF2" w:rsidP="00F906B4">
      <w:pPr>
        <w:pStyle w:val="Heading2"/>
        <w:jc w:val="both"/>
        <w:rPr>
          <w:lang w:val="en-GB"/>
        </w:rPr>
      </w:pPr>
      <w:bookmarkStart w:id="5" w:name="_Toc46392136"/>
      <w:r w:rsidRPr="00513BF4">
        <w:rPr>
          <w:lang w:val="en-GB"/>
        </w:rPr>
        <w:t xml:space="preserve">Provide general household CVA to caregivers who access </w:t>
      </w:r>
      <w:r w:rsidR="00946526" w:rsidRPr="00513BF4">
        <w:rPr>
          <w:lang w:val="en-GB"/>
        </w:rPr>
        <w:t xml:space="preserve">SAM </w:t>
      </w:r>
      <w:r w:rsidRPr="00513BF4">
        <w:rPr>
          <w:lang w:val="en-GB"/>
        </w:rPr>
        <w:t>treatment</w:t>
      </w:r>
      <w:bookmarkEnd w:id="5"/>
    </w:p>
    <w:p w14:paraId="7430C4F2" w14:textId="1AB45C55" w:rsidR="003E052B" w:rsidRPr="00513BF4" w:rsidRDefault="009956F3" w:rsidP="00F906B4">
      <w:pPr>
        <w:jc w:val="both"/>
        <w:rPr>
          <w:lang w:val="en-GB"/>
        </w:rPr>
      </w:pPr>
      <w:r w:rsidRPr="00513BF4">
        <w:rPr>
          <w:lang w:val="en-GB"/>
        </w:rPr>
        <w:t>Research from the DRC</w:t>
      </w:r>
      <w:r w:rsidR="009B4F9D" w:rsidRPr="00513BF4">
        <w:rPr>
          <w:lang w:val="en-GB"/>
        </w:rPr>
        <w:t xml:space="preserve"> (</w:t>
      </w:r>
      <w:proofErr w:type="spellStart"/>
      <w:r w:rsidR="009B4F9D" w:rsidRPr="00513BF4">
        <w:rPr>
          <w:lang w:val="en-GB"/>
        </w:rPr>
        <w:t>Grellety</w:t>
      </w:r>
      <w:proofErr w:type="spellEnd"/>
      <w:r w:rsidR="009B4F9D" w:rsidRPr="00513BF4">
        <w:rPr>
          <w:lang w:val="en-GB"/>
        </w:rPr>
        <w:t xml:space="preserve"> et al., 2017)</w:t>
      </w:r>
      <w:r w:rsidRPr="00513BF4">
        <w:rPr>
          <w:lang w:val="en-GB"/>
        </w:rPr>
        <w:t xml:space="preserve"> has demonstrated that h</w:t>
      </w:r>
      <w:r w:rsidR="003E052B" w:rsidRPr="00513BF4">
        <w:rPr>
          <w:lang w:val="en-GB"/>
        </w:rPr>
        <w:t>ousehold CVA provided as part of SAM treatment can</w:t>
      </w:r>
      <w:r w:rsidRPr="00513BF4">
        <w:rPr>
          <w:lang w:val="en-GB"/>
        </w:rPr>
        <w:t xml:space="preserve"> improve treatment outcomes by improving weight gain and recovery and reducing the likelihood of defaulting</w:t>
      </w:r>
      <w:r w:rsidR="003E052B" w:rsidRPr="00513BF4">
        <w:rPr>
          <w:lang w:val="en-GB"/>
        </w:rPr>
        <w:t>. At the same time, providing household CVA to parents who bring their malnourished children for treatment at stabilization centres is a controversial approach among humanitarian practitioners and nutritionists, as cash transfers tied to the nutrition status of children can provide the perverse incentive to caregivers to make or keep their children (or at least one of them) undernourished.</w:t>
      </w:r>
    </w:p>
    <w:p w14:paraId="59F317FF" w14:textId="769265AF" w:rsidR="005A24BD" w:rsidRPr="00513BF4" w:rsidRDefault="003E052B" w:rsidP="00F906B4">
      <w:pPr>
        <w:jc w:val="both"/>
        <w:rPr>
          <w:lang w:val="en-GB"/>
        </w:rPr>
      </w:pPr>
      <w:r w:rsidRPr="00513BF4">
        <w:rPr>
          <w:lang w:val="en-GB"/>
        </w:rPr>
        <w:t xml:space="preserve">From 2015 to 2018, the ICRC provided unconditional cash transfers to caregivers whose children were treated for SAM in stabilisation centres (in-patient) in </w:t>
      </w:r>
      <w:proofErr w:type="spellStart"/>
      <w:r w:rsidRPr="00513BF4">
        <w:rPr>
          <w:lang w:val="en-GB"/>
        </w:rPr>
        <w:t>Baidao</w:t>
      </w:r>
      <w:proofErr w:type="spellEnd"/>
      <w:r w:rsidRPr="00513BF4">
        <w:rPr>
          <w:lang w:val="en-GB"/>
        </w:rPr>
        <w:t xml:space="preserve"> and Kismayo. The objective of the cash transfer was to cover transportation costs, stabilize household food security following discharge and prevent relapse of children into SAM. Caregivers </w:t>
      </w:r>
      <w:r w:rsidR="00CE4076" w:rsidRPr="00513BF4">
        <w:rPr>
          <w:lang w:val="en-GB"/>
        </w:rPr>
        <w:t>did</w:t>
      </w:r>
      <w:r w:rsidRPr="00513BF4">
        <w:rPr>
          <w:lang w:val="en-GB"/>
        </w:rPr>
        <w:t xml:space="preserve"> not get assisted if they quit the stabilisation centre before the treatment </w:t>
      </w:r>
      <w:r w:rsidR="00CE4076" w:rsidRPr="00513BF4">
        <w:rPr>
          <w:lang w:val="en-GB"/>
        </w:rPr>
        <w:t>was</w:t>
      </w:r>
      <w:r w:rsidRPr="00513BF4">
        <w:rPr>
          <w:lang w:val="en-GB"/>
        </w:rPr>
        <w:t xml:space="preserve"> finalized or if they return</w:t>
      </w:r>
      <w:r w:rsidR="00CE4076" w:rsidRPr="00513BF4">
        <w:rPr>
          <w:lang w:val="en-GB"/>
        </w:rPr>
        <w:t>ed</w:t>
      </w:r>
      <w:r w:rsidRPr="00513BF4">
        <w:rPr>
          <w:lang w:val="en-GB"/>
        </w:rPr>
        <w:t xml:space="preserve"> for treatment. They were eligible to three cash payments of USD 100 each commencing once the child has completed treatment and ha</w:t>
      </w:r>
      <w:r w:rsidR="00CE4076" w:rsidRPr="00513BF4">
        <w:rPr>
          <w:lang w:val="en-GB"/>
        </w:rPr>
        <w:t>d</w:t>
      </w:r>
      <w:r w:rsidRPr="00513BF4">
        <w:rPr>
          <w:lang w:val="en-GB"/>
        </w:rPr>
        <w:t xml:space="preserve"> been formerly discharged. To what extent the programme was able to achieve its objective is not clear. A </w:t>
      </w:r>
      <w:r w:rsidR="00367DF3" w:rsidRPr="00513BF4">
        <w:rPr>
          <w:lang w:val="en-GB"/>
        </w:rPr>
        <w:t xml:space="preserve">planned </w:t>
      </w:r>
      <w:r w:rsidRPr="00513BF4">
        <w:rPr>
          <w:lang w:val="en-GB"/>
        </w:rPr>
        <w:t xml:space="preserve">study to review the outcomes and the </w:t>
      </w:r>
      <w:r w:rsidR="00367DF3" w:rsidRPr="00513BF4">
        <w:rPr>
          <w:lang w:val="en-GB"/>
        </w:rPr>
        <w:t xml:space="preserve">concerns around perverse incentives was cancelled for security reasons and the cash transfer component was subsequently stopped in July 2018. </w:t>
      </w:r>
    </w:p>
    <w:p w14:paraId="3842714C" w14:textId="754FF2F7" w:rsidR="00D4258D" w:rsidRPr="00513BF4" w:rsidRDefault="00367DF3" w:rsidP="00F906B4">
      <w:pPr>
        <w:jc w:val="both"/>
        <w:rPr>
          <w:lang w:val="en-GB"/>
        </w:rPr>
      </w:pPr>
      <w:r w:rsidRPr="00513BF4">
        <w:rPr>
          <w:lang w:val="en-GB"/>
        </w:rPr>
        <w:t xml:space="preserve">UNICEF adopted a similar approached in 2019 with the intention to provide caregivers of children with SAM monthly cash transfers of USD 20 over 9 months following their enrolment at the treatment centre. The aim of the cash transfer was to enhance the impact of therapeutic care and prevent children from relapsing into acute malnutrition. The programme also included SBC and counselling around optimal maternal and child feeding, and care practices targeted towards beneficiary households and the communities that host them. Due to operational and funding constraints, the programme was cut short and only provided three cash transfers. </w:t>
      </w:r>
      <w:r w:rsidR="00CE4076" w:rsidRPr="00513BF4">
        <w:rPr>
          <w:lang w:val="en-GB"/>
        </w:rPr>
        <w:t>Regular monitoring activities had to be cancelled or postponed.</w:t>
      </w:r>
    </w:p>
    <w:p w14:paraId="76FFFF59" w14:textId="44421360" w:rsidR="003268F5" w:rsidRPr="00513BF4" w:rsidRDefault="009E1223" w:rsidP="00F906B4">
      <w:pPr>
        <w:jc w:val="both"/>
        <w:rPr>
          <w:sz w:val="20"/>
          <w:szCs w:val="20"/>
          <w:lang w:val="en-GB"/>
        </w:rPr>
      </w:pPr>
      <w:r w:rsidRPr="00513BF4">
        <w:rPr>
          <w:lang w:val="en-GB"/>
        </w:rPr>
        <w:t xml:space="preserve">Partners that are </w:t>
      </w:r>
      <w:r w:rsidR="00640AA8" w:rsidRPr="00513BF4">
        <w:rPr>
          <w:lang w:val="en-GB"/>
        </w:rPr>
        <w:t>considering</w:t>
      </w:r>
      <w:r w:rsidRPr="00513BF4">
        <w:rPr>
          <w:lang w:val="en-GB"/>
        </w:rPr>
        <w:t xml:space="preserve"> this approach</w:t>
      </w:r>
      <w:r w:rsidR="00640AA8" w:rsidRPr="00513BF4">
        <w:rPr>
          <w:lang w:val="en-GB"/>
        </w:rPr>
        <w:t xml:space="preserve"> </w:t>
      </w:r>
      <w:r w:rsidRPr="00513BF4">
        <w:rPr>
          <w:lang w:val="en-GB"/>
        </w:rPr>
        <w:t>should explore th</w:t>
      </w:r>
      <w:r w:rsidR="00640AA8" w:rsidRPr="00513BF4">
        <w:rPr>
          <w:lang w:val="en-GB"/>
        </w:rPr>
        <w:t>e</w:t>
      </w:r>
      <w:r w:rsidRPr="00513BF4">
        <w:rPr>
          <w:lang w:val="en-GB"/>
        </w:rPr>
        <w:t xml:space="preserve"> risk of the perverse incentive and possible mitigation measures during community consultations. </w:t>
      </w:r>
      <w:r w:rsidR="00640AA8" w:rsidRPr="00513BF4">
        <w:rPr>
          <w:lang w:val="en-GB"/>
        </w:rPr>
        <w:t xml:space="preserve">Any project that targets cash transfers based on the nutritional status of children should incorporate the perverse incentive into its monitoring strategy and framework. </w:t>
      </w:r>
    </w:p>
    <w:p w14:paraId="0C949CEE" w14:textId="77777777" w:rsidR="0010416A" w:rsidRPr="00513BF4" w:rsidRDefault="0010416A" w:rsidP="00F906B4">
      <w:pPr>
        <w:jc w:val="both"/>
        <w:rPr>
          <w:lang w:val="en-GB"/>
        </w:rPr>
      </w:pPr>
    </w:p>
    <w:p w14:paraId="27C79DD5" w14:textId="5478163C" w:rsidR="00613091" w:rsidRPr="00513BF4" w:rsidRDefault="00613091" w:rsidP="00F906B4">
      <w:pPr>
        <w:pStyle w:val="Heading1"/>
        <w:jc w:val="both"/>
        <w:rPr>
          <w:lang w:val="en-GB"/>
        </w:rPr>
      </w:pPr>
      <w:bookmarkStart w:id="6" w:name="_Toc46392137"/>
      <w:r w:rsidRPr="00513BF4">
        <w:rPr>
          <w:lang w:val="en-GB"/>
        </w:rPr>
        <w:t>C</w:t>
      </w:r>
      <w:r w:rsidR="002A5DC6" w:rsidRPr="00513BF4">
        <w:rPr>
          <w:lang w:val="en-GB"/>
        </w:rPr>
        <w:t xml:space="preserve">VA </w:t>
      </w:r>
      <w:r w:rsidRPr="00513BF4">
        <w:rPr>
          <w:lang w:val="en-GB"/>
        </w:rPr>
        <w:t xml:space="preserve">in </w:t>
      </w:r>
      <w:r w:rsidR="00F75A81" w:rsidRPr="00513BF4">
        <w:rPr>
          <w:lang w:val="en-GB"/>
        </w:rPr>
        <w:t>Somalia</w:t>
      </w:r>
      <w:bookmarkEnd w:id="6"/>
    </w:p>
    <w:p w14:paraId="6141D592" w14:textId="063CB338" w:rsidR="001B58AC" w:rsidRPr="00513BF4" w:rsidRDefault="00AC60D7" w:rsidP="00F906B4">
      <w:pPr>
        <w:pStyle w:val="Heading2"/>
        <w:jc w:val="both"/>
        <w:rPr>
          <w:lang w:val="en-GB"/>
        </w:rPr>
      </w:pPr>
      <w:bookmarkStart w:id="7" w:name="_Toc46392138"/>
      <w:r>
        <w:rPr>
          <w:lang w:val="en-GB"/>
        </w:rPr>
        <w:t>Overview</w:t>
      </w:r>
      <w:bookmarkEnd w:id="7"/>
    </w:p>
    <w:p w14:paraId="45D571EC" w14:textId="480EDAA1" w:rsidR="00685F1A" w:rsidRPr="00513BF4" w:rsidRDefault="00685F1A" w:rsidP="00F906B4">
      <w:pPr>
        <w:jc w:val="both"/>
        <w:rPr>
          <w:lang w:val="en-GB"/>
        </w:rPr>
      </w:pPr>
      <w:r w:rsidRPr="00513BF4">
        <w:rPr>
          <w:lang w:val="en-GB"/>
        </w:rPr>
        <w:t xml:space="preserve">The use of humanitarian cash and voucher assistance has been expanding rapidly in </w:t>
      </w:r>
      <w:r w:rsidR="001B58AC" w:rsidRPr="00513BF4">
        <w:rPr>
          <w:lang w:val="en-GB"/>
        </w:rPr>
        <w:t>Somalia</w:t>
      </w:r>
      <w:r w:rsidRPr="00513BF4">
        <w:rPr>
          <w:lang w:val="en-GB"/>
        </w:rPr>
        <w:t xml:space="preserve"> over the past years and constitutes a major component of the 2020 Humanitarian Response Plan. In fact, humanitarian </w:t>
      </w:r>
      <w:r w:rsidRPr="00513BF4">
        <w:rPr>
          <w:lang w:val="en-GB"/>
        </w:rPr>
        <w:lastRenderedPageBreak/>
        <w:t>and resilience cash transfers contribute to monthly transactions of about US$155 million, which represents 36 per cent of Somalia’s GDP (</w:t>
      </w:r>
      <w:r w:rsidR="0035394E" w:rsidRPr="00513BF4">
        <w:rPr>
          <w:lang w:val="en-GB"/>
        </w:rPr>
        <w:t>OCHA</w:t>
      </w:r>
      <w:r w:rsidRPr="00513BF4">
        <w:rPr>
          <w:lang w:val="en-GB"/>
        </w:rPr>
        <w:t xml:space="preserve">, 2020). </w:t>
      </w:r>
      <w:r w:rsidR="00CE4076" w:rsidRPr="00513BF4">
        <w:rPr>
          <w:lang w:val="en-GB"/>
        </w:rPr>
        <w:t>Most</w:t>
      </w:r>
      <w:r w:rsidRPr="00513BF4">
        <w:rPr>
          <w:lang w:val="en-GB"/>
        </w:rPr>
        <w:t xml:space="preserve"> cash transfers are today delivered through mobile money, which is considered a preferred method for transferring money in Somalia. </w:t>
      </w:r>
    </w:p>
    <w:p w14:paraId="11AC9BE4" w14:textId="005EC1F1" w:rsidR="00F56BB3" w:rsidRDefault="00CE4F8D" w:rsidP="00F906B4">
      <w:pPr>
        <w:jc w:val="both"/>
        <w:rPr>
          <w:lang w:val="en-GB"/>
        </w:rPr>
      </w:pPr>
      <w:r w:rsidRPr="00513BF4">
        <w:rPr>
          <w:lang w:val="en-GB"/>
        </w:rPr>
        <w:t>Out of the USD 1.03 billion requested for the Somalia HRP 2020, USD 332 million (32%) is planned for CVA</w:t>
      </w:r>
      <w:r w:rsidR="002456CE" w:rsidRPr="00513BF4">
        <w:rPr>
          <w:lang w:val="en-GB"/>
        </w:rPr>
        <w:t xml:space="preserve"> (see figure </w:t>
      </w:r>
      <w:r w:rsidR="0035394E" w:rsidRPr="00513BF4">
        <w:rPr>
          <w:lang w:val="en-GB"/>
        </w:rPr>
        <w:t>1</w:t>
      </w:r>
      <w:r w:rsidR="002456CE" w:rsidRPr="00513BF4">
        <w:rPr>
          <w:lang w:val="en-GB"/>
        </w:rPr>
        <w:t xml:space="preserve"> below). The majority of CVA is programmed within the food security sector (USD 209 </w:t>
      </w:r>
      <w:r w:rsidR="0081521C">
        <w:rPr>
          <w:lang w:val="en-GB"/>
        </w:rPr>
        <w:t xml:space="preserve">million). </w:t>
      </w:r>
      <w:r w:rsidR="00F56BB3">
        <w:rPr>
          <w:lang w:val="en-GB"/>
        </w:rPr>
        <w:t xml:space="preserve">An </w:t>
      </w:r>
      <w:r w:rsidR="002456CE" w:rsidRPr="00513BF4">
        <w:rPr>
          <w:lang w:val="en-GB"/>
        </w:rPr>
        <w:t xml:space="preserve">increasing </w:t>
      </w:r>
      <w:r w:rsidR="0099578D" w:rsidRPr="00513BF4">
        <w:rPr>
          <w:lang w:val="en-GB"/>
        </w:rPr>
        <w:t>amount</w:t>
      </w:r>
      <w:r w:rsidR="002456CE" w:rsidRPr="00513BF4">
        <w:rPr>
          <w:lang w:val="en-GB"/>
        </w:rPr>
        <w:t xml:space="preserve"> of CVA is programmed as multi-purpose cash</w:t>
      </w:r>
      <w:r w:rsidR="0099578D" w:rsidRPr="00513BF4">
        <w:rPr>
          <w:rStyle w:val="FootnoteReference"/>
          <w:lang w:val="en-GB"/>
        </w:rPr>
        <w:footnoteReference w:id="8"/>
      </w:r>
      <w:r w:rsidR="0099578D" w:rsidRPr="00513BF4">
        <w:rPr>
          <w:lang w:val="en-GB"/>
        </w:rPr>
        <w:t xml:space="preserve"> (MPC)</w:t>
      </w:r>
      <w:r w:rsidR="002456CE" w:rsidRPr="00513BF4">
        <w:rPr>
          <w:lang w:val="en-GB"/>
        </w:rPr>
        <w:t>, i.e. the assistance intends to achieve results across several sectors.</w:t>
      </w:r>
      <w:r w:rsidR="00F56BB3">
        <w:rPr>
          <w:lang w:val="en-GB"/>
        </w:rPr>
        <w:t xml:space="preserve"> Until recently, in Somalia, the Food Security Cluster who uses CVA more frequently that the other clusters were tracking all MPC </w:t>
      </w:r>
      <w:r w:rsidR="00864EE9">
        <w:rPr>
          <w:lang w:val="en-GB"/>
        </w:rPr>
        <w:t xml:space="preserve">(by default) </w:t>
      </w:r>
      <w:r w:rsidR="00F56BB3">
        <w:rPr>
          <w:lang w:val="en-GB"/>
        </w:rPr>
        <w:t xml:space="preserve">even if the </w:t>
      </w:r>
      <w:r w:rsidR="00864EE9">
        <w:rPr>
          <w:lang w:val="en-GB"/>
        </w:rPr>
        <w:t xml:space="preserve">cash </w:t>
      </w:r>
      <w:r w:rsidR="00F56BB3">
        <w:rPr>
          <w:lang w:val="en-GB"/>
        </w:rPr>
        <w:t>amount supported other sectoral outcomes.</w:t>
      </w:r>
      <w:r w:rsidR="00F56BB3" w:rsidRPr="00513BF4">
        <w:rPr>
          <w:lang w:val="en-GB"/>
        </w:rPr>
        <w:t xml:space="preserve"> </w:t>
      </w:r>
      <w:r w:rsidR="00864EE9">
        <w:rPr>
          <w:lang w:val="en-GB"/>
        </w:rPr>
        <w:t>This</w:t>
      </w:r>
      <w:r w:rsidR="00F56BB3">
        <w:rPr>
          <w:lang w:val="en-GB"/>
        </w:rPr>
        <w:t xml:space="preserve"> </w:t>
      </w:r>
      <w:r w:rsidR="00864EE9">
        <w:rPr>
          <w:lang w:val="en-GB"/>
        </w:rPr>
        <w:t>is due to</w:t>
      </w:r>
      <w:r w:rsidR="00631AA7">
        <w:rPr>
          <w:lang w:val="en-GB"/>
        </w:rPr>
        <w:t xml:space="preserve"> </w:t>
      </w:r>
      <w:r w:rsidR="00864EE9">
        <w:rPr>
          <w:lang w:val="en-GB"/>
        </w:rPr>
        <w:t xml:space="preserve">beneficiaries spending </w:t>
      </w:r>
      <w:proofErr w:type="gramStart"/>
      <w:r w:rsidR="00864EE9">
        <w:rPr>
          <w:lang w:val="en-GB"/>
        </w:rPr>
        <w:t>the majority of</w:t>
      </w:r>
      <w:proofErr w:type="gramEnd"/>
      <w:r w:rsidR="00864EE9">
        <w:rPr>
          <w:lang w:val="en-GB"/>
        </w:rPr>
        <w:t xml:space="preserve"> cash assistance on food purchase. </w:t>
      </w:r>
    </w:p>
    <w:p w14:paraId="6259D431" w14:textId="7703D3C5" w:rsidR="00CE4F8D" w:rsidRPr="00513BF4" w:rsidRDefault="002456CE" w:rsidP="00F906B4">
      <w:pPr>
        <w:jc w:val="both"/>
        <w:rPr>
          <w:lang w:val="en-GB"/>
        </w:rPr>
      </w:pPr>
      <w:r w:rsidRPr="00513BF4">
        <w:rPr>
          <w:lang w:val="en-GB"/>
        </w:rPr>
        <w:t xml:space="preserve">Only roughly USD 100,000 is programmed under the nutrition sector. Nevertheless, the nutrition cluster </w:t>
      </w:r>
      <w:r w:rsidR="0099578D" w:rsidRPr="00513BF4">
        <w:rPr>
          <w:lang w:val="en-GB"/>
        </w:rPr>
        <w:t>recognizes</w:t>
      </w:r>
      <w:r w:rsidRPr="00513BF4">
        <w:rPr>
          <w:lang w:val="en-GB"/>
        </w:rPr>
        <w:t xml:space="preserve"> the potential of CVA modalities to </w:t>
      </w:r>
      <w:r w:rsidR="0099578D" w:rsidRPr="00513BF4">
        <w:rPr>
          <w:lang w:val="en-GB"/>
        </w:rPr>
        <w:t xml:space="preserve">improve living standards and quality of diets, thus improving the nutrition status of women, children and the general population, and contributing </w:t>
      </w:r>
      <w:r w:rsidRPr="00513BF4">
        <w:rPr>
          <w:lang w:val="en-GB"/>
        </w:rPr>
        <w:t>to nutrition security for all in the context of Somalia</w:t>
      </w:r>
      <w:r w:rsidR="0099578D" w:rsidRPr="00513BF4">
        <w:rPr>
          <w:lang w:val="en-GB"/>
        </w:rPr>
        <w:t xml:space="preserve"> (</w:t>
      </w:r>
      <w:r w:rsidR="0035394E" w:rsidRPr="00513BF4">
        <w:rPr>
          <w:lang w:val="en-GB"/>
        </w:rPr>
        <w:t>OCHA</w:t>
      </w:r>
      <w:r w:rsidR="0099578D" w:rsidRPr="00513BF4">
        <w:rPr>
          <w:lang w:val="en-GB"/>
        </w:rPr>
        <w:t>, 2020)</w:t>
      </w:r>
      <w:r w:rsidRPr="00513BF4">
        <w:rPr>
          <w:lang w:val="en-GB"/>
        </w:rPr>
        <w:t>.</w:t>
      </w:r>
    </w:p>
    <w:p w14:paraId="4CB638F5" w14:textId="130B34A9" w:rsidR="002456CE" w:rsidRPr="00513BF4" w:rsidRDefault="002456CE" w:rsidP="00F906B4">
      <w:pPr>
        <w:jc w:val="both"/>
        <w:rPr>
          <w:lang w:val="en-GB"/>
        </w:rPr>
      </w:pPr>
      <w:r w:rsidRPr="00513BF4">
        <w:rPr>
          <w:noProof/>
          <w:lang w:val="en-GB" w:eastAsia="en-GB"/>
        </w:rPr>
        <w:drawing>
          <wp:inline distT="0" distB="0" distL="0" distR="0" wp14:anchorId="60C2061B" wp14:editId="30986F12">
            <wp:extent cx="5943600" cy="2116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a:extLst>
                        <a:ext uri="{28A0092B-C50C-407E-A947-70E740481C1C}">
                          <a14:useLocalDpi xmlns:a14="http://schemas.microsoft.com/office/drawing/2010/main" val="0"/>
                        </a:ext>
                      </a:extLst>
                    </a:blip>
                    <a:srcRect t="11474"/>
                    <a:stretch/>
                  </pic:blipFill>
                  <pic:spPr bwMode="auto">
                    <a:xfrm>
                      <a:off x="0" y="0"/>
                      <a:ext cx="5943600" cy="2116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EFFB6E" w14:textId="7EF3F942" w:rsidR="002456CE" w:rsidRPr="00513BF4" w:rsidRDefault="002456CE" w:rsidP="00F906B4">
      <w:pPr>
        <w:jc w:val="both"/>
        <w:rPr>
          <w:lang w:val="en-GB"/>
        </w:rPr>
      </w:pPr>
      <w:r w:rsidRPr="00513BF4">
        <w:rPr>
          <w:lang w:val="en-GB"/>
        </w:rPr>
        <w:t xml:space="preserve">Figure </w:t>
      </w:r>
      <w:r w:rsidR="0035394E" w:rsidRPr="00513BF4">
        <w:rPr>
          <w:lang w:val="en-GB"/>
        </w:rPr>
        <w:t>1</w:t>
      </w:r>
      <w:r w:rsidRPr="00513BF4">
        <w:rPr>
          <w:lang w:val="en-GB"/>
        </w:rPr>
        <w:t xml:space="preserve">. </w:t>
      </w:r>
      <w:r w:rsidR="004B1625" w:rsidRPr="00513BF4">
        <w:rPr>
          <w:lang w:val="en-GB"/>
        </w:rPr>
        <w:t>Planned CVA – budget and percentage against total requirements by cluster</w:t>
      </w:r>
      <w:r w:rsidR="00057CD5" w:rsidRPr="00513BF4">
        <w:rPr>
          <w:lang w:val="en-GB"/>
        </w:rPr>
        <w:t xml:space="preserve"> (</w:t>
      </w:r>
      <w:r w:rsidR="0035394E" w:rsidRPr="00513BF4">
        <w:rPr>
          <w:lang w:val="en-GB"/>
        </w:rPr>
        <w:t>OCHA</w:t>
      </w:r>
      <w:r w:rsidR="00057CD5" w:rsidRPr="00513BF4">
        <w:rPr>
          <w:lang w:val="en-GB"/>
        </w:rPr>
        <w:t>, 2020)</w:t>
      </w:r>
    </w:p>
    <w:p w14:paraId="1B505559" w14:textId="2A9D07D7" w:rsidR="00685F1A" w:rsidRPr="00513BF4" w:rsidRDefault="002456CE" w:rsidP="00F906B4">
      <w:pPr>
        <w:jc w:val="both"/>
        <w:rPr>
          <w:lang w:val="en-GB"/>
        </w:rPr>
      </w:pPr>
      <w:r w:rsidRPr="00513BF4">
        <w:rPr>
          <w:lang w:val="en-GB"/>
        </w:rPr>
        <w:t xml:space="preserve">MPC </w:t>
      </w:r>
      <w:r w:rsidR="00685F1A" w:rsidRPr="00513BF4">
        <w:rPr>
          <w:lang w:val="en-GB"/>
        </w:rPr>
        <w:t xml:space="preserve">is seen </w:t>
      </w:r>
      <w:r w:rsidR="001B58AC" w:rsidRPr="00513BF4">
        <w:rPr>
          <w:lang w:val="en-GB"/>
        </w:rPr>
        <w:t xml:space="preserve">by many organisations </w:t>
      </w:r>
      <w:r w:rsidR="00685F1A" w:rsidRPr="00513BF4">
        <w:rPr>
          <w:lang w:val="en-GB"/>
        </w:rPr>
        <w:t xml:space="preserve">as an effective </w:t>
      </w:r>
      <w:r w:rsidR="001B58AC" w:rsidRPr="00513BF4">
        <w:rPr>
          <w:lang w:val="en-GB"/>
        </w:rPr>
        <w:t>approach</w:t>
      </w:r>
      <w:r w:rsidR="00685F1A" w:rsidRPr="00513BF4">
        <w:rPr>
          <w:lang w:val="en-GB"/>
        </w:rPr>
        <w:t xml:space="preserve"> to aid displaced populations, supporting a dignified assistance and value for money. In the absence of an institutionalised social protection system, MPC can be used as shock-responsive assistance to ensure vulnerable IDPs do not fall into destitution while transitioning to recovery. In general, cash assistance is best used as an enabler to address basic needs, increase access to services and/or specialised assistance aiming at complementing each other on the delivery of sectoral outcomes.</w:t>
      </w:r>
      <w:r w:rsidR="001B58AC" w:rsidRPr="00513BF4">
        <w:rPr>
          <w:lang w:val="en-GB"/>
        </w:rPr>
        <w:t xml:space="preserve"> </w:t>
      </w:r>
      <w:r w:rsidR="0035394E" w:rsidRPr="00513BF4">
        <w:rPr>
          <w:lang w:val="en-GB"/>
        </w:rPr>
        <w:t>(OCHA, 2020)</w:t>
      </w:r>
    </w:p>
    <w:p w14:paraId="52D42F22" w14:textId="77777777" w:rsidR="0099578D" w:rsidRPr="00513BF4" w:rsidRDefault="0099578D" w:rsidP="00F906B4">
      <w:pPr>
        <w:jc w:val="both"/>
        <w:rPr>
          <w:lang w:val="en-GB"/>
        </w:rPr>
      </w:pPr>
    </w:p>
    <w:p w14:paraId="5051391A" w14:textId="3A895442" w:rsidR="0099578D" w:rsidRPr="00513BF4" w:rsidRDefault="00AC60D7" w:rsidP="00F906B4">
      <w:pPr>
        <w:pStyle w:val="Heading2"/>
        <w:jc w:val="both"/>
        <w:rPr>
          <w:lang w:val="en-GB"/>
        </w:rPr>
      </w:pPr>
      <w:bookmarkStart w:id="8" w:name="_Toc46392139"/>
      <w:r>
        <w:rPr>
          <w:lang w:val="en-GB"/>
        </w:rPr>
        <w:lastRenderedPageBreak/>
        <w:t xml:space="preserve">Applying a nutrition lens to </w:t>
      </w:r>
      <w:r w:rsidR="0099578D" w:rsidRPr="00513BF4">
        <w:rPr>
          <w:lang w:val="en-GB"/>
        </w:rPr>
        <w:t>household CVA</w:t>
      </w:r>
      <w:bookmarkEnd w:id="8"/>
    </w:p>
    <w:p w14:paraId="1654C1BF" w14:textId="2729A67A" w:rsidR="0099578D" w:rsidRPr="00513BF4" w:rsidRDefault="00AA2941" w:rsidP="00F906B4">
      <w:pPr>
        <w:jc w:val="both"/>
        <w:rPr>
          <w:lang w:val="en-GB"/>
        </w:rPr>
      </w:pPr>
      <w:r w:rsidRPr="00513BF4">
        <w:rPr>
          <w:lang w:val="en-GB"/>
        </w:rPr>
        <w:t>While household CVA (</w:t>
      </w:r>
      <w:r w:rsidR="003E323F" w:rsidRPr="00513BF4">
        <w:rPr>
          <w:lang w:val="en-GB"/>
        </w:rPr>
        <w:t>including</w:t>
      </w:r>
      <w:r w:rsidRPr="00513BF4">
        <w:rPr>
          <w:lang w:val="en-GB"/>
        </w:rPr>
        <w:t xml:space="preserve"> MPC or food security CVA) can under specific circumstances lead to nutrition outcomes, evidence has shown that </w:t>
      </w:r>
      <w:r w:rsidR="004B50B3" w:rsidRPr="00513BF4">
        <w:rPr>
          <w:lang w:val="en-GB"/>
        </w:rPr>
        <w:t>CVA alone</w:t>
      </w:r>
      <w:r w:rsidRPr="00513BF4">
        <w:rPr>
          <w:lang w:val="en-GB"/>
        </w:rPr>
        <w:t xml:space="preserve"> is usually not </w:t>
      </w:r>
      <w:proofErr w:type="gramStart"/>
      <w:r w:rsidRPr="00513BF4">
        <w:rPr>
          <w:lang w:val="en-GB"/>
        </w:rPr>
        <w:t>sufficient</w:t>
      </w:r>
      <w:proofErr w:type="gramEnd"/>
      <w:r w:rsidRPr="00513BF4">
        <w:rPr>
          <w:lang w:val="en-GB"/>
        </w:rPr>
        <w:t xml:space="preserve">. </w:t>
      </w:r>
      <w:r w:rsidR="0099578D" w:rsidRPr="00513BF4">
        <w:rPr>
          <w:lang w:val="en-GB"/>
        </w:rPr>
        <w:t xml:space="preserve">Several measures can </w:t>
      </w:r>
      <w:r w:rsidRPr="00513BF4">
        <w:rPr>
          <w:lang w:val="en-GB"/>
        </w:rPr>
        <w:t xml:space="preserve">however </w:t>
      </w:r>
      <w:r w:rsidR="0099578D" w:rsidRPr="00513BF4">
        <w:rPr>
          <w:lang w:val="en-GB"/>
        </w:rPr>
        <w:t xml:space="preserve">be taken to </w:t>
      </w:r>
      <w:r w:rsidR="00AC60D7">
        <w:rPr>
          <w:lang w:val="en-GB"/>
        </w:rPr>
        <w:t xml:space="preserve">apply a nutrition lens to </w:t>
      </w:r>
      <w:r w:rsidR="0099578D" w:rsidRPr="00513BF4">
        <w:rPr>
          <w:lang w:val="en-GB"/>
        </w:rPr>
        <w:t xml:space="preserve">household CVA, </w:t>
      </w:r>
      <w:r w:rsidR="004B50B3" w:rsidRPr="00513BF4">
        <w:rPr>
          <w:lang w:val="en-GB"/>
        </w:rPr>
        <w:t xml:space="preserve">thereby increasing the chances that cash or vouchers can contribute to nutrition outcomes. These measures include </w:t>
      </w:r>
      <w:r w:rsidR="0099578D" w:rsidRPr="00513BF4">
        <w:rPr>
          <w:lang w:val="en-GB"/>
        </w:rPr>
        <w:t xml:space="preserve">pairing </w:t>
      </w:r>
      <w:r w:rsidR="004B50B3" w:rsidRPr="00513BF4">
        <w:rPr>
          <w:lang w:val="en-GB"/>
        </w:rPr>
        <w:t xml:space="preserve">household </w:t>
      </w:r>
      <w:r w:rsidR="00AC60D7">
        <w:rPr>
          <w:lang w:val="en-GB"/>
        </w:rPr>
        <w:t>CVA</w:t>
      </w:r>
      <w:r w:rsidR="0099578D" w:rsidRPr="00513BF4">
        <w:rPr>
          <w:lang w:val="en-GB"/>
        </w:rPr>
        <w:t xml:space="preserve"> with SBC, appropriately reflecting nutrition in the </w:t>
      </w:r>
      <w:r w:rsidR="002A4BA1" w:rsidRPr="00513BF4">
        <w:rPr>
          <w:lang w:val="en-GB"/>
        </w:rPr>
        <w:t xml:space="preserve">minimum food basket (MFB) / </w:t>
      </w:r>
      <w:r w:rsidR="0099578D" w:rsidRPr="00513BF4">
        <w:rPr>
          <w:lang w:val="en-GB"/>
        </w:rPr>
        <w:t xml:space="preserve">minimum expenditure basket (MEB) and transfer amount </w:t>
      </w:r>
      <w:r w:rsidR="00366A0D" w:rsidRPr="00513BF4">
        <w:rPr>
          <w:lang w:val="en-GB"/>
        </w:rPr>
        <w:t>calculation and</w:t>
      </w:r>
      <w:r w:rsidR="004B50B3" w:rsidRPr="00513BF4">
        <w:rPr>
          <w:lang w:val="en-GB"/>
        </w:rPr>
        <w:t xml:space="preserve"> </w:t>
      </w:r>
      <w:r w:rsidRPr="00513BF4">
        <w:rPr>
          <w:lang w:val="en-GB"/>
        </w:rPr>
        <w:t xml:space="preserve">putting a stronger focus on targeting groups at risk of malnutrition. </w:t>
      </w:r>
    </w:p>
    <w:p w14:paraId="56407587" w14:textId="77777777" w:rsidR="00CA1528" w:rsidRPr="00513BF4" w:rsidRDefault="00CA1528" w:rsidP="00F906B4">
      <w:pPr>
        <w:jc w:val="both"/>
        <w:rPr>
          <w:i/>
          <w:iCs/>
          <w:lang w:val="en-GB"/>
        </w:rPr>
      </w:pPr>
    </w:p>
    <w:p w14:paraId="6B829E09" w14:textId="646D7578" w:rsidR="005B50C7" w:rsidRPr="00513BF4" w:rsidRDefault="005B50C7" w:rsidP="00F906B4">
      <w:pPr>
        <w:jc w:val="both"/>
        <w:rPr>
          <w:i/>
          <w:iCs/>
          <w:lang w:val="en-GB"/>
        </w:rPr>
      </w:pPr>
      <w:r w:rsidRPr="00513BF4">
        <w:rPr>
          <w:i/>
          <w:iCs/>
          <w:lang w:val="en-GB"/>
        </w:rPr>
        <w:t>Paring household cash transfers with SBC</w:t>
      </w:r>
    </w:p>
    <w:p w14:paraId="6716EDC3" w14:textId="07BC7518" w:rsidR="005B50C7" w:rsidRPr="00513BF4" w:rsidRDefault="00A76DBE" w:rsidP="00F906B4">
      <w:pPr>
        <w:jc w:val="both"/>
        <w:rPr>
          <w:lang w:val="en-GB"/>
        </w:rPr>
      </w:pPr>
      <w:r w:rsidRPr="00513BF4">
        <w:rPr>
          <w:lang w:val="en-GB"/>
        </w:rPr>
        <w:t xml:space="preserve">SBC can promote nutrition-sensitive and child/women-centred spending decisions while the cash transfer allows caregivers to put some of the acquired knowledge and skills from SBC activities into practice. SBC should be considered the most important measure to make </w:t>
      </w:r>
      <w:r w:rsidR="00CA1528" w:rsidRPr="00513BF4">
        <w:rPr>
          <w:lang w:val="en-GB"/>
        </w:rPr>
        <w:t>household cash transfers</w:t>
      </w:r>
      <w:r w:rsidRPr="00513BF4">
        <w:rPr>
          <w:lang w:val="en-GB"/>
        </w:rPr>
        <w:t xml:space="preserve"> more nutrition sensitive and a must if household cash transfers are meant to contribute to nutrition outcomes.</w:t>
      </w:r>
    </w:p>
    <w:p w14:paraId="4ED8920B" w14:textId="39D99CB8" w:rsidR="00366A0D" w:rsidRPr="00513BF4" w:rsidRDefault="00AA2941" w:rsidP="00366A0D">
      <w:pPr>
        <w:jc w:val="both"/>
        <w:rPr>
          <w:lang w:val="en-GB"/>
        </w:rPr>
      </w:pPr>
      <w:r w:rsidRPr="00513BF4">
        <w:rPr>
          <w:lang w:val="en-GB"/>
        </w:rPr>
        <w:t xml:space="preserve">While many of the </w:t>
      </w:r>
      <w:r w:rsidR="00CA1528" w:rsidRPr="00513BF4">
        <w:rPr>
          <w:lang w:val="en-GB"/>
        </w:rPr>
        <w:t xml:space="preserve">‘nutrition </w:t>
      </w:r>
      <w:r w:rsidRPr="00513BF4">
        <w:rPr>
          <w:lang w:val="en-GB"/>
        </w:rPr>
        <w:t>projects</w:t>
      </w:r>
      <w:r w:rsidR="00CA1528" w:rsidRPr="00513BF4">
        <w:rPr>
          <w:lang w:val="en-GB"/>
        </w:rPr>
        <w:t>’</w:t>
      </w:r>
      <w:r w:rsidRPr="00513BF4">
        <w:rPr>
          <w:lang w:val="en-GB"/>
        </w:rPr>
        <w:t xml:space="preserve"> reviewed in chapter 3</w:t>
      </w:r>
      <w:r w:rsidR="00CA1528" w:rsidRPr="00513BF4">
        <w:rPr>
          <w:lang w:val="en-GB"/>
        </w:rPr>
        <w:t xml:space="preserve"> included</w:t>
      </w:r>
      <w:r w:rsidRPr="00513BF4">
        <w:rPr>
          <w:lang w:val="en-GB"/>
        </w:rPr>
        <w:t xml:space="preserve"> a nutrition SBC component, regular MPC or food security oriented CVA </w:t>
      </w:r>
      <w:r w:rsidR="00CA1528" w:rsidRPr="00513BF4">
        <w:rPr>
          <w:lang w:val="en-GB"/>
        </w:rPr>
        <w:t xml:space="preserve">in Somalia </w:t>
      </w:r>
      <w:r w:rsidRPr="00513BF4">
        <w:rPr>
          <w:lang w:val="en-GB"/>
        </w:rPr>
        <w:t xml:space="preserve">usually does not. The implementation of an SBC component alongside household CVA does require resources and can be challenging in a context like Somalia where access to affected communities is often limited. </w:t>
      </w:r>
      <w:r w:rsidR="00366A0D">
        <w:rPr>
          <w:lang w:val="en-GB"/>
        </w:rPr>
        <w:t xml:space="preserve">SBC interventions delivered through mobile phone messages (such as the mHealth approach as part of the CINS </w:t>
      </w:r>
      <w:r w:rsidRPr="00513BF4">
        <w:rPr>
          <w:lang w:val="en-GB"/>
        </w:rPr>
        <w:t>research</w:t>
      </w:r>
      <w:r w:rsidR="00366A0D">
        <w:rPr>
          <w:lang w:val="en-GB"/>
        </w:rPr>
        <w:t xml:space="preserve">) </w:t>
      </w:r>
      <w:r w:rsidR="00366A0D" w:rsidRPr="00513BF4">
        <w:rPr>
          <w:lang w:val="en-GB"/>
        </w:rPr>
        <w:t>could offer an interesting opportunity to integrate SBC into household CVA at relatively low cost in the context of Somalia.</w:t>
      </w:r>
    </w:p>
    <w:p w14:paraId="60A32196" w14:textId="77777777" w:rsidR="00601496" w:rsidRPr="00513BF4" w:rsidRDefault="00601496" w:rsidP="00F906B4">
      <w:pPr>
        <w:jc w:val="both"/>
        <w:rPr>
          <w:lang w:val="en-GB"/>
        </w:rPr>
      </w:pPr>
    </w:p>
    <w:p w14:paraId="7F506024" w14:textId="1BB5227F" w:rsidR="005B50C7" w:rsidRPr="00513BF4" w:rsidRDefault="005B50C7" w:rsidP="00F906B4">
      <w:pPr>
        <w:jc w:val="both"/>
        <w:rPr>
          <w:i/>
          <w:iCs/>
          <w:lang w:val="en-GB"/>
        </w:rPr>
      </w:pPr>
      <w:r w:rsidRPr="00513BF4">
        <w:rPr>
          <w:i/>
          <w:iCs/>
          <w:lang w:val="en-GB"/>
        </w:rPr>
        <w:t>MEB and transfer amount</w:t>
      </w:r>
    </w:p>
    <w:p w14:paraId="5EA9EB04" w14:textId="502BAC41" w:rsidR="002A4BA1" w:rsidRPr="00513BF4" w:rsidRDefault="002A4BA1" w:rsidP="00F906B4">
      <w:pPr>
        <w:jc w:val="both"/>
        <w:rPr>
          <w:lang w:val="en-GB"/>
        </w:rPr>
      </w:pPr>
      <w:r w:rsidRPr="00513BF4">
        <w:rPr>
          <w:lang w:val="en-GB"/>
        </w:rPr>
        <w:t>The MEB is a tool that helps to identify and quantify basic needs items and services that are accessible in adequate quality through local markets and services (</w:t>
      </w:r>
      <w:proofErr w:type="spellStart"/>
      <w:r w:rsidRPr="00513BF4">
        <w:rPr>
          <w:lang w:val="en-GB"/>
        </w:rPr>
        <w:t>CaLP</w:t>
      </w:r>
      <w:proofErr w:type="spellEnd"/>
      <w:r w:rsidRPr="00513BF4">
        <w:rPr>
          <w:lang w:val="en-GB"/>
        </w:rPr>
        <w:t xml:space="preserve">, 2019). Items and services included in an MEB are those that households </w:t>
      </w:r>
      <w:proofErr w:type="gramStart"/>
      <w:r w:rsidRPr="00513BF4">
        <w:rPr>
          <w:lang w:val="en-GB"/>
        </w:rPr>
        <w:t>in a given</w:t>
      </w:r>
      <w:proofErr w:type="gramEnd"/>
      <w:r w:rsidRPr="00513BF4">
        <w:rPr>
          <w:lang w:val="en-GB"/>
        </w:rPr>
        <w:t xml:space="preserve"> context are likely to prioritize, on a regular or seasonal basis. An MEB is inherently multisectoral and based on the average cost of the items composing the basket. </w:t>
      </w:r>
    </w:p>
    <w:p w14:paraId="4B923E99" w14:textId="7D26E66D" w:rsidR="0099578D" w:rsidRPr="00513BF4" w:rsidRDefault="002A4BA1" w:rsidP="00F906B4">
      <w:pPr>
        <w:jc w:val="both"/>
        <w:rPr>
          <w:lang w:val="en-GB"/>
        </w:rPr>
      </w:pPr>
      <w:r w:rsidRPr="00513BF4">
        <w:rPr>
          <w:lang w:val="en-GB"/>
        </w:rPr>
        <w:t>The minimum food basket (MFB) can be a standalone expenditure basket or considered as the food component of an MEB. Both MEB and MFB should be designed to meet the macro and micronutrient needs of households or individuals</w:t>
      </w:r>
      <w:r w:rsidRPr="00513BF4">
        <w:rPr>
          <w:rStyle w:val="FootnoteReference"/>
          <w:lang w:val="en-GB"/>
        </w:rPr>
        <w:footnoteReference w:id="9"/>
      </w:r>
      <w:r w:rsidRPr="00513BF4">
        <w:rPr>
          <w:lang w:val="en-GB"/>
        </w:rPr>
        <w:t>. In addition to staple foods, the MFB should also contain locally appropriate fruits, vegetables and animal source products.</w:t>
      </w:r>
      <w:r w:rsidR="00A333F1" w:rsidRPr="00513BF4">
        <w:rPr>
          <w:lang w:val="en-GB"/>
        </w:rPr>
        <w:t xml:space="preserve"> T</w:t>
      </w:r>
      <w:r w:rsidRPr="00513BF4">
        <w:rPr>
          <w:lang w:val="en-GB"/>
        </w:rPr>
        <w:t xml:space="preserve">he MEB </w:t>
      </w:r>
      <w:r w:rsidR="00A333F1" w:rsidRPr="00513BF4">
        <w:rPr>
          <w:lang w:val="en-GB"/>
        </w:rPr>
        <w:t xml:space="preserve">can further </w:t>
      </w:r>
      <w:r w:rsidRPr="00513BF4">
        <w:rPr>
          <w:lang w:val="en-GB"/>
        </w:rPr>
        <w:t xml:space="preserve">contain transportation expenses and health related expenses (related to </w:t>
      </w:r>
      <w:r w:rsidR="007C3AE2" w:rsidRPr="00513BF4">
        <w:rPr>
          <w:lang w:val="en-GB"/>
        </w:rPr>
        <w:t>direct or indirect costs of accessing health services</w:t>
      </w:r>
      <w:r w:rsidR="007C3AE2" w:rsidRPr="00513BF4">
        <w:rPr>
          <w:rStyle w:val="FootnoteReference"/>
          <w:lang w:val="en-GB"/>
        </w:rPr>
        <w:footnoteReference w:id="10"/>
      </w:r>
      <w:r w:rsidRPr="00513BF4">
        <w:rPr>
          <w:lang w:val="en-GB"/>
        </w:rPr>
        <w:t>) that can facilitate access to health services.</w:t>
      </w:r>
    </w:p>
    <w:p w14:paraId="4257B164" w14:textId="5F6EDF9A" w:rsidR="002A4BA1" w:rsidRPr="00513BF4" w:rsidRDefault="00C65AE2" w:rsidP="00F906B4">
      <w:pPr>
        <w:jc w:val="both"/>
        <w:rPr>
          <w:lang w:val="en-GB"/>
        </w:rPr>
      </w:pPr>
      <w:r w:rsidRPr="00513BF4">
        <w:rPr>
          <w:noProof/>
          <w:lang w:val="en-GB" w:eastAsia="en-GB"/>
        </w:rPr>
        <w:lastRenderedPageBreak/>
        <w:drawing>
          <wp:anchor distT="0" distB="0" distL="114300" distR="114300" simplePos="0" relativeHeight="251658240" behindDoc="0" locked="0" layoutInCell="1" allowOverlap="1" wp14:anchorId="7219C0D9" wp14:editId="2574D617">
            <wp:simplePos x="0" y="0"/>
            <wp:positionH relativeFrom="margin">
              <wp:align>right</wp:align>
            </wp:positionH>
            <wp:positionV relativeFrom="paragraph">
              <wp:posOffset>3810</wp:posOffset>
            </wp:positionV>
            <wp:extent cx="2756535" cy="316293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6535" cy="3162935"/>
                    </a:xfrm>
                    <a:prstGeom prst="rect">
                      <a:avLst/>
                    </a:prstGeom>
                    <a:noFill/>
                    <a:ln>
                      <a:noFill/>
                    </a:ln>
                  </pic:spPr>
                </pic:pic>
              </a:graphicData>
            </a:graphic>
            <wp14:sizeRelH relativeFrom="margin">
              <wp14:pctWidth>0</wp14:pctWidth>
            </wp14:sizeRelH>
          </wp:anchor>
        </w:drawing>
      </w:r>
      <w:r w:rsidR="00E60353" w:rsidRPr="00513BF4">
        <w:rPr>
          <w:lang w:val="en-GB"/>
        </w:rPr>
        <w:t>The table to the right</w:t>
      </w:r>
      <w:r w:rsidRPr="00513BF4">
        <w:rPr>
          <w:lang w:val="en-GB"/>
        </w:rPr>
        <w:t xml:space="preserve"> shows the content of the Somalia MEB. </w:t>
      </w:r>
      <w:r w:rsidR="0093279F" w:rsidRPr="00513BF4">
        <w:rPr>
          <w:lang w:val="en-GB"/>
        </w:rPr>
        <w:t xml:space="preserve">The MEB represents the minimum culturally adjusted set of basic food items (comprising 2,100 kilocalories per person per day of basic energy) and non-food items (NFIs) required to support an average Somalian household of 6-7 members for one month. </w:t>
      </w:r>
      <w:r w:rsidR="002A4BA1" w:rsidRPr="00513BF4">
        <w:rPr>
          <w:lang w:val="en-GB"/>
        </w:rPr>
        <w:t xml:space="preserve">Expenditure on transportation and health </w:t>
      </w:r>
      <w:r w:rsidR="007C3AE2" w:rsidRPr="00513BF4">
        <w:rPr>
          <w:lang w:val="en-GB"/>
        </w:rPr>
        <w:t xml:space="preserve">are </w:t>
      </w:r>
      <w:r w:rsidRPr="00513BF4">
        <w:rPr>
          <w:lang w:val="en-GB"/>
        </w:rPr>
        <w:t>not</w:t>
      </w:r>
      <w:r w:rsidR="002A4BA1" w:rsidRPr="00513BF4">
        <w:rPr>
          <w:lang w:val="en-GB"/>
        </w:rPr>
        <w:t xml:space="preserve"> included in the MEB. A short analysis of the food component of the MEB using </w:t>
      </w:r>
      <w:proofErr w:type="spellStart"/>
      <w:r w:rsidR="002A4BA1" w:rsidRPr="00513BF4">
        <w:rPr>
          <w:lang w:val="en-GB"/>
        </w:rPr>
        <w:t>NutVal</w:t>
      </w:r>
      <w:proofErr w:type="spellEnd"/>
      <w:r w:rsidR="002A4BA1" w:rsidRPr="00513BF4">
        <w:rPr>
          <w:lang w:val="en-GB"/>
        </w:rPr>
        <w:t xml:space="preserve"> reveals that the food basket </w:t>
      </w:r>
      <w:proofErr w:type="gramStart"/>
      <w:r w:rsidR="002A4BA1" w:rsidRPr="00513BF4">
        <w:rPr>
          <w:lang w:val="en-GB"/>
        </w:rPr>
        <w:t>is able to</w:t>
      </w:r>
      <w:proofErr w:type="gramEnd"/>
      <w:r w:rsidR="002A4BA1" w:rsidRPr="00513BF4">
        <w:rPr>
          <w:lang w:val="en-GB"/>
        </w:rPr>
        <w:t xml:space="preserve"> cover the average </w:t>
      </w:r>
      <w:r w:rsidR="00927E21" w:rsidRPr="00513BF4">
        <w:rPr>
          <w:lang w:val="en-GB"/>
        </w:rPr>
        <w:t>requirements for macronutrients (</w:t>
      </w:r>
      <w:r w:rsidR="002A4BA1" w:rsidRPr="00513BF4">
        <w:rPr>
          <w:lang w:val="en-GB"/>
        </w:rPr>
        <w:t>calorie</w:t>
      </w:r>
      <w:r w:rsidR="00927E21" w:rsidRPr="00513BF4">
        <w:rPr>
          <w:lang w:val="en-GB"/>
        </w:rPr>
        <w:t>s, protein and fat) but falls short</w:t>
      </w:r>
      <w:r w:rsidR="00034937">
        <w:rPr>
          <w:lang w:val="en-GB"/>
        </w:rPr>
        <w:t xml:space="preserve"> of a healthy diverse diet and a</w:t>
      </w:r>
      <w:r w:rsidR="00927E21" w:rsidRPr="00513BF4">
        <w:rPr>
          <w:lang w:val="en-GB"/>
        </w:rPr>
        <w:t>verage requirements for most micronutrients</w:t>
      </w:r>
      <w:r w:rsidR="007C3AE2" w:rsidRPr="00513BF4">
        <w:rPr>
          <w:lang w:val="en-GB"/>
        </w:rPr>
        <w:t>.</w:t>
      </w:r>
      <w:r w:rsidR="002A4BA1" w:rsidRPr="00513BF4">
        <w:rPr>
          <w:lang w:val="en-GB"/>
        </w:rPr>
        <w:t xml:space="preserve"> For more details, please see the </w:t>
      </w:r>
      <w:proofErr w:type="spellStart"/>
      <w:r w:rsidR="002A4BA1" w:rsidRPr="00513BF4">
        <w:rPr>
          <w:lang w:val="en-GB"/>
        </w:rPr>
        <w:t>NutVal</w:t>
      </w:r>
      <w:proofErr w:type="spellEnd"/>
      <w:r w:rsidR="002A4BA1" w:rsidRPr="00513BF4">
        <w:rPr>
          <w:lang w:val="en-GB"/>
        </w:rPr>
        <w:t xml:space="preserve"> calculation</w:t>
      </w:r>
      <w:r w:rsidR="002A4BA1" w:rsidRPr="00513BF4">
        <w:rPr>
          <w:rStyle w:val="FootnoteReference"/>
          <w:lang w:val="en-GB"/>
        </w:rPr>
        <w:footnoteReference w:id="11"/>
      </w:r>
      <w:r w:rsidR="002A4BA1" w:rsidRPr="00513BF4">
        <w:rPr>
          <w:lang w:val="en-GB"/>
        </w:rPr>
        <w:t>.</w:t>
      </w:r>
    </w:p>
    <w:p w14:paraId="7328E1B5" w14:textId="2DFB98AA" w:rsidR="00DA1AD4" w:rsidRPr="00513BF4" w:rsidRDefault="00927E21" w:rsidP="00F906B4">
      <w:pPr>
        <w:jc w:val="both"/>
        <w:rPr>
          <w:lang w:val="en-GB"/>
        </w:rPr>
      </w:pPr>
      <w:r w:rsidRPr="00513BF4">
        <w:rPr>
          <w:lang w:val="en-GB"/>
        </w:rPr>
        <w:object w:dxaOrig="1508" w:dyaOrig="984" w14:anchorId="5F8C8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2" o:title=""/>
          </v:shape>
          <o:OLEObject Type="Embed" ProgID="Excel.Sheet.8" ShapeID="_x0000_i1025" DrawAspect="Icon" ObjectID="_1657007023" r:id="rId13"/>
        </w:object>
      </w:r>
    </w:p>
    <w:p w14:paraId="19FF3DFD" w14:textId="27741324" w:rsidR="00E60353" w:rsidRPr="00513BF4" w:rsidRDefault="00E60353" w:rsidP="00F906B4">
      <w:pPr>
        <w:jc w:val="both"/>
        <w:rPr>
          <w:lang w:val="en-GB"/>
        </w:rPr>
      </w:pPr>
      <w:r w:rsidRPr="00513BF4">
        <w:rPr>
          <w:lang w:val="en-GB"/>
        </w:rPr>
        <w:t>The transfer value used by the food security sector should correspond to 100% of the food MEB, while the multi-purpose transfer value should correspond to 80% of the full MEB</w:t>
      </w:r>
      <w:r w:rsidR="007C3AE2" w:rsidRPr="00513BF4">
        <w:rPr>
          <w:lang w:val="en-GB"/>
        </w:rPr>
        <w:t xml:space="preserve"> (CWG, 2020)</w:t>
      </w:r>
      <w:r w:rsidRPr="00513BF4">
        <w:rPr>
          <w:lang w:val="en-GB"/>
        </w:rPr>
        <w:t>.</w:t>
      </w:r>
    </w:p>
    <w:p w14:paraId="2717A824" w14:textId="5FC4768A" w:rsidR="00F435AE" w:rsidRPr="00513BF4" w:rsidRDefault="00F906B4" w:rsidP="00F906B4">
      <w:pPr>
        <w:jc w:val="both"/>
        <w:rPr>
          <w:lang w:val="en-GB"/>
        </w:rPr>
      </w:pPr>
      <w:r w:rsidRPr="00513BF4">
        <w:rPr>
          <w:noProof/>
          <w:lang w:val="en-GB" w:eastAsia="en-GB"/>
        </w:rPr>
        <w:drawing>
          <wp:anchor distT="0" distB="0" distL="114300" distR="114300" simplePos="0" relativeHeight="251659264" behindDoc="0" locked="0" layoutInCell="1" allowOverlap="1" wp14:anchorId="063CC905" wp14:editId="4504BE23">
            <wp:simplePos x="0" y="0"/>
            <wp:positionH relativeFrom="column">
              <wp:posOffset>3861435</wp:posOffset>
            </wp:positionH>
            <wp:positionV relativeFrom="paragraph">
              <wp:posOffset>48944</wp:posOffset>
            </wp:positionV>
            <wp:extent cx="2060575" cy="21666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575" cy="2166620"/>
                    </a:xfrm>
                    <a:prstGeom prst="rect">
                      <a:avLst/>
                    </a:prstGeom>
                    <a:noFill/>
                    <a:ln>
                      <a:noFill/>
                    </a:ln>
                  </pic:spPr>
                </pic:pic>
              </a:graphicData>
            </a:graphic>
            <wp14:sizeRelH relativeFrom="margin">
              <wp14:pctWidth>0</wp14:pctWidth>
            </wp14:sizeRelH>
          </wp:anchor>
        </w:drawing>
      </w:r>
      <w:r w:rsidR="00F435AE" w:rsidRPr="00513BF4">
        <w:rPr>
          <w:lang w:val="en-GB"/>
        </w:rPr>
        <w:t>As part of the Fill the Nutrient Gap exercise</w:t>
      </w:r>
      <w:r w:rsidR="007C3AE2" w:rsidRPr="00513BF4">
        <w:rPr>
          <w:lang w:val="en-GB"/>
        </w:rPr>
        <w:t xml:space="preserve"> led by WFP</w:t>
      </w:r>
      <w:r w:rsidR="00F435AE" w:rsidRPr="00513BF4">
        <w:rPr>
          <w:lang w:val="en-GB"/>
        </w:rPr>
        <w:t>, a Cost of the Diet (</w:t>
      </w:r>
      <w:proofErr w:type="spellStart"/>
      <w:r w:rsidR="00F435AE" w:rsidRPr="00513BF4">
        <w:rPr>
          <w:lang w:val="en-GB"/>
        </w:rPr>
        <w:t>CotD</w:t>
      </w:r>
      <w:proofErr w:type="spellEnd"/>
      <w:r w:rsidR="00F435AE" w:rsidRPr="00513BF4">
        <w:rPr>
          <w:lang w:val="en-GB"/>
        </w:rPr>
        <w:t xml:space="preserve">) analysis was conducted for Somalia in 2019. The </w:t>
      </w:r>
      <w:proofErr w:type="spellStart"/>
      <w:r w:rsidR="00F435AE" w:rsidRPr="00513BF4">
        <w:rPr>
          <w:lang w:val="en-GB"/>
        </w:rPr>
        <w:t>CotD</w:t>
      </w:r>
      <w:proofErr w:type="spellEnd"/>
      <w:r w:rsidR="00F435AE" w:rsidRPr="00513BF4">
        <w:rPr>
          <w:lang w:val="en-GB"/>
        </w:rPr>
        <w:t xml:space="preserve"> finds that nutritious diet for an average household of five persons</w:t>
      </w:r>
      <w:r w:rsidR="00F435AE" w:rsidRPr="00513BF4">
        <w:rPr>
          <w:rStyle w:val="FootnoteReference"/>
          <w:lang w:val="en-GB"/>
        </w:rPr>
        <w:footnoteReference w:id="12"/>
      </w:r>
      <w:r w:rsidR="00F435AE" w:rsidRPr="00513BF4">
        <w:rPr>
          <w:lang w:val="en-GB"/>
        </w:rPr>
        <w:t xml:space="preserve"> costs on average </w:t>
      </w:r>
      <w:r w:rsidR="007C3AE2" w:rsidRPr="00513BF4">
        <w:rPr>
          <w:lang w:val="en-GB"/>
        </w:rPr>
        <w:t xml:space="preserve">$ </w:t>
      </w:r>
      <w:r w:rsidR="00F435AE" w:rsidRPr="00513BF4">
        <w:rPr>
          <w:lang w:val="en-GB"/>
        </w:rPr>
        <w:t xml:space="preserve">6.96 per day (or </w:t>
      </w:r>
      <w:r w:rsidR="007C3AE2" w:rsidRPr="00513BF4">
        <w:rPr>
          <w:lang w:val="en-GB"/>
        </w:rPr>
        <w:t xml:space="preserve">$ </w:t>
      </w:r>
      <w:r w:rsidR="00F435AE" w:rsidRPr="00513BF4">
        <w:rPr>
          <w:lang w:val="en-GB"/>
        </w:rPr>
        <w:t>209 per month)</w:t>
      </w:r>
      <w:r w:rsidR="003E323F" w:rsidRPr="00513BF4">
        <w:rPr>
          <w:lang w:val="en-GB"/>
        </w:rPr>
        <w:t xml:space="preserve"> (WFP, 2019)</w:t>
      </w:r>
      <w:r w:rsidR="00F435AE" w:rsidRPr="00513BF4">
        <w:rPr>
          <w:lang w:val="en-GB"/>
        </w:rPr>
        <w:t>. The cost of a nutritious diet is four times higher than the cost of a calorie-based diet (</w:t>
      </w:r>
      <w:r w:rsidR="007C3AE2" w:rsidRPr="00513BF4">
        <w:rPr>
          <w:lang w:val="en-GB"/>
        </w:rPr>
        <w:t xml:space="preserve">$ </w:t>
      </w:r>
      <w:r w:rsidR="00F435AE" w:rsidRPr="00513BF4">
        <w:rPr>
          <w:lang w:val="en-GB"/>
        </w:rPr>
        <w:t xml:space="preserve">1.85 per day or </w:t>
      </w:r>
      <w:r w:rsidR="007C3AE2" w:rsidRPr="00513BF4">
        <w:rPr>
          <w:lang w:val="en-GB"/>
        </w:rPr>
        <w:t xml:space="preserve">$ </w:t>
      </w:r>
      <w:r w:rsidR="00F435AE" w:rsidRPr="00513BF4">
        <w:rPr>
          <w:lang w:val="en-GB"/>
        </w:rPr>
        <w:t xml:space="preserve">56 per month) and significantly higher than the value of the MEB, which ranges between </w:t>
      </w:r>
      <w:r w:rsidR="007C3AE2" w:rsidRPr="00513BF4">
        <w:rPr>
          <w:lang w:val="en-GB"/>
        </w:rPr>
        <w:t>roughly $</w:t>
      </w:r>
      <w:r w:rsidR="00F435AE" w:rsidRPr="00513BF4">
        <w:rPr>
          <w:lang w:val="en-GB"/>
        </w:rPr>
        <w:t xml:space="preserve"> 70 and </w:t>
      </w:r>
      <w:r w:rsidR="007C3AE2" w:rsidRPr="00513BF4">
        <w:rPr>
          <w:lang w:val="en-GB"/>
        </w:rPr>
        <w:t xml:space="preserve">$ </w:t>
      </w:r>
      <w:r w:rsidR="00F435AE" w:rsidRPr="00513BF4">
        <w:rPr>
          <w:lang w:val="en-GB"/>
        </w:rPr>
        <w:t xml:space="preserve">130 depending on the region (see table to the right). We can conclude that a cash transfer value based on 80% of MEB falls significantly short of ensuring a nutritious diet for targeted household. </w:t>
      </w:r>
    </w:p>
    <w:p w14:paraId="72419FAB" w14:textId="77777777" w:rsidR="0005181B" w:rsidRPr="00513BF4" w:rsidRDefault="0005181B" w:rsidP="00F906B4">
      <w:pPr>
        <w:jc w:val="both"/>
        <w:rPr>
          <w:i/>
          <w:iCs/>
          <w:lang w:val="en-GB"/>
        </w:rPr>
      </w:pPr>
    </w:p>
    <w:p w14:paraId="07261E09" w14:textId="5198E979" w:rsidR="005B50C7" w:rsidRPr="00513BF4" w:rsidRDefault="005B50C7" w:rsidP="00F906B4">
      <w:pPr>
        <w:jc w:val="both"/>
        <w:rPr>
          <w:i/>
          <w:iCs/>
          <w:lang w:val="en-GB"/>
        </w:rPr>
      </w:pPr>
      <w:r w:rsidRPr="00513BF4">
        <w:rPr>
          <w:i/>
          <w:iCs/>
          <w:lang w:val="en-GB"/>
        </w:rPr>
        <w:t>Targeting</w:t>
      </w:r>
    </w:p>
    <w:p w14:paraId="0F086E0B" w14:textId="77777777" w:rsidR="00340D50" w:rsidRDefault="00F60262" w:rsidP="004401FC">
      <w:pPr>
        <w:rPr>
          <w:lang w:val="en-GB"/>
        </w:rPr>
      </w:pPr>
      <w:r w:rsidRPr="00513BF4">
        <w:rPr>
          <w:lang w:val="en-GB"/>
        </w:rPr>
        <w:t xml:space="preserve">Targeting criteria for </w:t>
      </w:r>
      <w:r w:rsidR="003E323F" w:rsidRPr="00513BF4">
        <w:rPr>
          <w:lang w:val="en-GB"/>
        </w:rPr>
        <w:t>household CVA</w:t>
      </w:r>
      <w:r w:rsidRPr="00513BF4">
        <w:rPr>
          <w:lang w:val="en-GB"/>
        </w:rPr>
        <w:t xml:space="preserve"> are in most cases based on economic vulnerability indicators, such as such as income or expenditure (if these can be reliably collected), food security (e.g. number of meals </w:t>
      </w:r>
      <w:r w:rsidRPr="00513BF4">
        <w:rPr>
          <w:lang w:val="en-GB"/>
        </w:rPr>
        <w:lastRenderedPageBreak/>
        <w:t>per day), households composition (e.g. dependency ratio), asset ownership (e.g. livestock, land), coping strategies, etc</w:t>
      </w:r>
      <w:r w:rsidRPr="005A1994">
        <w:rPr>
          <w:lang w:val="en-GB"/>
        </w:rPr>
        <w:t xml:space="preserve">. </w:t>
      </w:r>
    </w:p>
    <w:p w14:paraId="7503041F" w14:textId="6331F81D" w:rsidR="004401FC" w:rsidRPr="00C82550" w:rsidRDefault="00D740CF" w:rsidP="00C82550">
      <w:pPr>
        <w:jc w:val="both"/>
        <w:rPr>
          <w:rFonts w:eastAsia="Times New Roman" w:cs="Times New Roman"/>
          <w:lang w:val="en-AU"/>
        </w:rPr>
      </w:pPr>
      <w:r w:rsidRPr="00C82550">
        <w:rPr>
          <w:lang w:val="en-GB"/>
        </w:rPr>
        <w:t>In Somalia,</w:t>
      </w:r>
      <w:r w:rsidRPr="00C82550">
        <w:rPr>
          <w:rFonts w:eastAsia="Times New Roman" w:cs="Times New Roman"/>
        </w:rPr>
        <w:t xml:space="preserve"> </w:t>
      </w:r>
      <w:r w:rsidR="005F2CF9" w:rsidRPr="00C82550">
        <w:rPr>
          <w:rFonts w:eastAsia="Times New Roman" w:cs="Times New Roman"/>
          <w:lang w:val="en-AU"/>
        </w:rPr>
        <w:t xml:space="preserve">there is no homogenised approach to targeting beneficiaries for cash assistance. </w:t>
      </w:r>
      <w:proofErr w:type="gramStart"/>
      <w:r w:rsidR="005F2CF9" w:rsidRPr="00C82550">
        <w:rPr>
          <w:rFonts w:eastAsia="Times New Roman" w:cs="Times New Roman"/>
          <w:lang w:val="en-AU"/>
        </w:rPr>
        <w:t xml:space="preserve">The </w:t>
      </w:r>
      <w:r w:rsidRPr="00C82550">
        <w:rPr>
          <w:rFonts w:eastAsia="Times New Roman" w:cs="Times New Roman"/>
          <w:lang w:val="en-AU"/>
        </w:rPr>
        <w:t>majority of</w:t>
      </w:r>
      <w:proofErr w:type="gramEnd"/>
      <w:r w:rsidRPr="00C82550">
        <w:rPr>
          <w:rFonts w:eastAsia="Times New Roman" w:cs="Times New Roman"/>
          <w:lang w:val="en-AU"/>
        </w:rPr>
        <w:t xml:space="preserve"> partners </w:t>
      </w:r>
      <w:r w:rsidR="009C3545" w:rsidRPr="00C82550">
        <w:rPr>
          <w:rFonts w:eastAsia="Times New Roman" w:cs="Times New Roman"/>
          <w:lang w:val="en-AU"/>
        </w:rPr>
        <w:t>select</w:t>
      </w:r>
      <w:r w:rsidRPr="00C82550">
        <w:rPr>
          <w:rFonts w:eastAsia="Times New Roman" w:cs="Times New Roman"/>
          <w:lang w:val="en-AU"/>
        </w:rPr>
        <w:t xml:space="preserve"> </w:t>
      </w:r>
      <w:r w:rsidR="009C3545" w:rsidRPr="00C82550">
        <w:rPr>
          <w:rFonts w:eastAsia="Times New Roman" w:cs="Times New Roman"/>
          <w:lang w:val="en-AU"/>
        </w:rPr>
        <w:t>a</w:t>
      </w:r>
      <w:r w:rsidRPr="00C82550">
        <w:rPr>
          <w:rFonts w:eastAsia="Times New Roman" w:cs="Times New Roman"/>
          <w:lang w:val="en-AU"/>
        </w:rPr>
        <w:t xml:space="preserve"> region and</w:t>
      </w:r>
      <w:r w:rsidR="009C3545" w:rsidRPr="00C82550">
        <w:rPr>
          <w:rFonts w:eastAsia="Times New Roman" w:cs="Times New Roman"/>
          <w:lang w:val="en-AU"/>
        </w:rPr>
        <w:t>/or</w:t>
      </w:r>
      <w:r w:rsidRPr="00C82550">
        <w:rPr>
          <w:rFonts w:eastAsia="Times New Roman" w:cs="Times New Roman"/>
          <w:lang w:val="en-AU"/>
        </w:rPr>
        <w:t xml:space="preserve"> district</w:t>
      </w:r>
      <w:r w:rsidR="009C3545" w:rsidRPr="00C82550">
        <w:rPr>
          <w:rFonts w:eastAsia="Times New Roman" w:cs="Times New Roman"/>
          <w:lang w:val="en-AU"/>
        </w:rPr>
        <w:t>s</w:t>
      </w:r>
      <w:r w:rsidRPr="00C82550">
        <w:rPr>
          <w:rFonts w:eastAsia="Times New Roman" w:cs="Times New Roman"/>
          <w:lang w:val="en-AU"/>
        </w:rPr>
        <w:t xml:space="preserve"> based on the following factors: high density of ‘drought affected people’, accessibility and security.</w:t>
      </w:r>
      <w:r w:rsidR="005F2CF9" w:rsidRPr="00C82550">
        <w:rPr>
          <w:rFonts w:eastAsia="Times New Roman" w:cs="Times New Roman"/>
          <w:lang w:val="en-AU"/>
        </w:rPr>
        <w:t xml:space="preserve"> The country is a clan-based society; with pressure often put to target those with clan affiliations as project beneficiaries. As a result</w:t>
      </w:r>
      <w:r w:rsidR="005A1994" w:rsidRPr="00C82550">
        <w:rPr>
          <w:rFonts w:eastAsia="Times New Roman" w:cs="Times New Roman"/>
          <w:lang w:val="en-AU"/>
        </w:rPr>
        <w:t>,</w:t>
      </w:r>
      <w:r w:rsidR="005F2CF9" w:rsidRPr="00C82550">
        <w:rPr>
          <w:rFonts w:eastAsia="Times New Roman" w:cs="Times New Roman"/>
          <w:lang w:val="en-AU"/>
        </w:rPr>
        <w:t xml:space="preserve"> </w:t>
      </w:r>
      <w:r w:rsidR="005A1994" w:rsidRPr="00C82550">
        <w:rPr>
          <w:rFonts w:eastAsia="Times New Roman" w:cs="Times New Roman"/>
          <w:lang w:val="en-AU"/>
        </w:rPr>
        <w:t>t</w:t>
      </w:r>
      <w:r w:rsidR="004401FC" w:rsidRPr="00C82550">
        <w:rPr>
          <w:rFonts w:eastAsia="Times New Roman" w:cs="Times New Roman"/>
          <w:lang w:val="en-AU"/>
        </w:rPr>
        <w:t xml:space="preserve">argeting is also often biased against ‘minority’ populations. In fact, there is evidence to suggest that minority groups </w:t>
      </w:r>
      <w:r w:rsidR="005A1994" w:rsidRPr="00C82550">
        <w:rPr>
          <w:rFonts w:eastAsia="Times New Roman" w:cs="Times New Roman"/>
          <w:lang w:val="en-AU"/>
        </w:rPr>
        <w:t>are the</w:t>
      </w:r>
      <w:r w:rsidR="004401FC" w:rsidRPr="00C82550">
        <w:rPr>
          <w:rFonts w:eastAsia="Times New Roman" w:cs="Times New Roman"/>
          <w:lang w:val="en-AU"/>
        </w:rPr>
        <w:t xml:space="preserve"> most </w:t>
      </w:r>
      <w:r w:rsidR="005A1994" w:rsidRPr="00C82550">
        <w:rPr>
          <w:rFonts w:eastAsia="Times New Roman" w:cs="Times New Roman"/>
          <w:lang w:val="en-AU"/>
        </w:rPr>
        <w:t>affected when a disaster</w:t>
      </w:r>
      <w:r w:rsidR="009C3545" w:rsidRPr="00C82550">
        <w:rPr>
          <w:rFonts w:eastAsia="Times New Roman" w:cs="Times New Roman"/>
          <w:lang w:val="en-AU"/>
        </w:rPr>
        <w:t xml:space="preserve">, like drought </w:t>
      </w:r>
      <w:r w:rsidR="005A1994" w:rsidRPr="00C82550">
        <w:rPr>
          <w:rFonts w:eastAsia="Times New Roman" w:cs="Times New Roman"/>
          <w:lang w:val="en-AU"/>
        </w:rPr>
        <w:t>strikes. As a</w:t>
      </w:r>
      <w:r w:rsidR="004401FC" w:rsidRPr="00C82550">
        <w:rPr>
          <w:rFonts w:eastAsia="Times New Roman" w:cs="Times New Roman"/>
          <w:lang w:val="en-AU"/>
        </w:rPr>
        <w:t xml:space="preserve"> result of both their marginalised status and their location (access issues)</w:t>
      </w:r>
      <w:r w:rsidR="005A1994" w:rsidRPr="00C82550">
        <w:rPr>
          <w:rFonts w:eastAsia="Times New Roman" w:cs="Times New Roman"/>
          <w:lang w:val="en-AU"/>
        </w:rPr>
        <w:t xml:space="preserve">, </w:t>
      </w:r>
      <w:r w:rsidR="009C3545" w:rsidRPr="00C82550">
        <w:rPr>
          <w:rFonts w:eastAsia="Times New Roman" w:cs="Times New Roman"/>
          <w:lang w:val="en-AU"/>
        </w:rPr>
        <w:t>minority groups</w:t>
      </w:r>
      <w:r w:rsidR="005A1994" w:rsidRPr="00C82550">
        <w:rPr>
          <w:rFonts w:eastAsia="Times New Roman" w:cs="Times New Roman"/>
          <w:lang w:val="en-AU"/>
        </w:rPr>
        <w:t xml:space="preserve"> are not included in the provision of humanitarian assistance.</w:t>
      </w:r>
    </w:p>
    <w:p w14:paraId="09AB3A90" w14:textId="5646C197" w:rsidR="00A0286C" w:rsidRPr="00513BF4" w:rsidRDefault="00D740CF" w:rsidP="00C82550">
      <w:pPr>
        <w:jc w:val="both"/>
        <w:rPr>
          <w:lang w:val="en-GB"/>
        </w:rPr>
      </w:pPr>
      <w:r w:rsidRPr="00C82550">
        <w:rPr>
          <w:lang w:val="en-GB"/>
        </w:rPr>
        <w:t xml:space="preserve"> </w:t>
      </w:r>
      <w:r w:rsidR="00F60262" w:rsidRPr="00C82550">
        <w:rPr>
          <w:lang w:val="en-GB"/>
        </w:rPr>
        <w:t>Targeting criteria for nutrition interventions</w:t>
      </w:r>
      <w:r w:rsidR="000A5E84" w:rsidRPr="00C82550">
        <w:rPr>
          <w:lang w:val="en-GB"/>
        </w:rPr>
        <w:t xml:space="preserve"> </w:t>
      </w:r>
      <w:r w:rsidR="00F60262" w:rsidRPr="00C82550">
        <w:rPr>
          <w:lang w:val="en-GB"/>
        </w:rPr>
        <w:t xml:space="preserve">are either based on at-risk groups for preventative strategies or individuals suffering from malnutrition for treatment strategies. </w:t>
      </w:r>
      <w:r w:rsidR="00F906B4" w:rsidRPr="00C82550">
        <w:rPr>
          <w:lang w:val="en-GB"/>
        </w:rPr>
        <w:t>Targeting strategies based on the</w:t>
      </w:r>
      <w:r w:rsidR="00F906B4" w:rsidRPr="00513BF4">
        <w:rPr>
          <w:lang w:val="en-GB"/>
        </w:rPr>
        <w:t xml:space="preserve"> nutrition status of children should be used with caution, as they </w:t>
      </w:r>
      <w:r w:rsidR="000A5E84">
        <w:rPr>
          <w:lang w:val="en-GB"/>
        </w:rPr>
        <w:t>might</w:t>
      </w:r>
      <w:r w:rsidR="00F906B4" w:rsidRPr="00513BF4">
        <w:rPr>
          <w:lang w:val="en-GB"/>
        </w:rPr>
        <w:t xml:space="preserve"> incentivizing </w:t>
      </w:r>
      <w:r w:rsidR="000A5E84">
        <w:rPr>
          <w:lang w:val="en-GB"/>
        </w:rPr>
        <w:t xml:space="preserve">some </w:t>
      </w:r>
      <w:r w:rsidR="00F906B4" w:rsidRPr="00513BF4">
        <w:rPr>
          <w:lang w:val="en-GB"/>
        </w:rPr>
        <w:t>caregivers to make or keep on</w:t>
      </w:r>
      <w:r w:rsidR="007C3AE2" w:rsidRPr="00513BF4">
        <w:rPr>
          <w:lang w:val="en-GB"/>
        </w:rPr>
        <w:t>e</w:t>
      </w:r>
      <w:r w:rsidR="00F906B4" w:rsidRPr="00513BF4">
        <w:rPr>
          <w:lang w:val="en-GB"/>
        </w:rPr>
        <w:t xml:space="preserve"> of their children malnourished. </w:t>
      </w:r>
      <w:r w:rsidR="00F60262" w:rsidRPr="00513BF4">
        <w:rPr>
          <w:lang w:val="en-GB"/>
        </w:rPr>
        <w:t xml:space="preserve">In contexts where malnutrition rates are high, targeting strategies for </w:t>
      </w:r>
      <w:r w:rsidR="003E323F" w:rsidRPr="00513BF4">
        <w:rPr>
          <w:lang w:val="en-GB"/>
        </w:rPr>
        <w:t>household CVA</w:t>
      </w:r>
      <w:r w:rsidR="00F60262" w:rsidRPr="00513BF4">
        <w:rPr>
          <w:lang w:val="en-GB"/>
        </w:rPr>
        <w:t xml:space="preserve"> could pay specific attention to at risk groups, such as PLW, children below 5 years of age, adolescent girls, the elderly or people living with HIV. These groups could be explicitly categorically targeted to increase the nutrition impact of MPC.</w:t>
      </w:r>
    </w:p>
    <w:p w14:paraId="33FD6D74" w14:textId="48F4EC8E" w:rsidR="005B50C7" w:rsidRPr="00513BF4" w:rsidRDefault="003E323F" w:rsidP="00F906B4">
      <w:pPr>
        <w:jc w:val="both"/>
        <w:rPr>
          <w:lang w:val="en-GB"/>
        </w:rPr>
      </w:pPr>
      <w:r w:rsidRPr="00513BF4">
        <w:rPr>
          <w:lang w:val="en-GB"/>
        </w:rPr>
        <w:t>Furthermore, e</w:t>
      </w:r>
      <w:r w:rsidR="00F60262" w:rsidRPr="00513BF4">
        <w:rPr>
          <w:lang w:val="en-GB"/>
        </w:rPr>
        <w:t>vidence from the development literature indicates that targeting interventions to PLW and younger children during the first 1000 days</w:t>
      </w:r>
      <w:r w:rsidR="00F906B4" w:rsidRPr="00513BF4">
        <w:rPr>
          <w:rStyle w:val="FootnoteReference"/>
          <w:lang w:val="en-GB"/>
        </w:rPr>
        <w:footnoteReference w:id="13"/>
      </w:r>
      <w:r w:rsidR="00F60262" w:rsidRPr="00513BF4">
        <w:rPr>
          <w:lang w:val="en-GB"/>
        </w:rPr>
        <w:t xml:space="preserve"> has greater impact on child nutritional outcome (REFANI, 2015).</w:t>
      </w:r>
      <w:r w:rsidRPr="00513BF4">
        <w:rPr>
          <w:lang w:val="en-GB"/>
        </w:rPr>
        <w:t xml:space="preserve"> As such, </w:t>
      </w:r>
      <w:r w:rsidR="00456C66" w:rsidRPr="00513BF4">
        <w:rPr>
          <w:lang w:val="en-GB"/>
        </w:rPr>
        <w:t xml:space="preserve">safety net programmes </w:t>
      </w:r>
      <w:r w:rsidR="007C3AE2" w:rsidRPr="00513BF4">
        <w:rPr>
          <w:lang w:val="en-GB"/>
        </w:rPr>
        <w:t>providing household CVA could be targeted towards</w:t>
      </w:r>
      <w:r w:rsidR="00456C66" w:rsidRPr="00513BF4">
        <w:rPr>
          <w:lang w:val="en-GB"/>
        </w:rPr>
        <w:t xml:space="preserve"> household</w:t>
      </w:r>
      <w:r w:rsidR="007C3AE2" w:rsidRPr="00513BF4">
        <w:rPr>
          <w:lang w:val="en-GB"/>
        </w:rPr>
        <w:t xml:space="preserve"> with pregnant women and children under the age of two</w:t>
      </w:r>
      <w:r w:rsidR="00456C66" w:rsidRPr="00513BF4">
        <w:rPr>
          <w:lang w:val="en-GB"/>
        </w:rPr>
        <w:t xml:space="preserve">. </w:t>
      </w:r>
    </w:p>
    <w:p w14:paraId="3CC7080C" w14:textId="77777777" w:rsidR="005B50C7" w:rsidRPr="00513BF4" w:rsidRDefault="005B50C7" w:rsidP="00F906B4">
      <w:pPr>
        <w:jc w:val="both"/>
        <w:rPr>
          <w:lang w:val="en-GB"/>
        </w:rPr>
      </w:pPr>
    </w:p>
    <w:p w14:paraId="4A4B6DBA" w14:textId="2D324C6F" w:rsidR="00703B5D" w:rsidRPr="00513BF4" w:rsidRDefault="005B50C7" w:rsidP="00F906B4">
      <w:pPr>
        <w:pStyle w:val="Heading1"/>
        <w:jc w:val="both"/>
        <w:rPr>
          <w:lang w:val="en-GB"/>
        </w:rPr>
      </w:pPr>
      <w:bookmarkStart w:id="9" w:name="_Toc46392140"/>
      <w:r w:rsidRPr="00513BF4">
        <w:rPr>
          <w:lang w:val="en-GB"/>
        </w:rPr>
        <w:t>Affordability of a nutritious diet</w:t>
      </w:r>
      <w:bookmarkEnd w:id="9"/>
    </w:p>
    <w:p w14:paraId="0D1DFAD7" w14:textId="5B37F23B" w:rsidR="00E46791" w:rsidRPr="00513BF4" w:rsidRDefault="005B50C7" w:rsidP="00F906B4">
      <w:pPr>
        <w:jc w:val="both"/>
        <w:rPr>
          <w:lang w:val="en-GB"/>
        </w:rPr>
      </w:pPr>
      <w:r w:rsidRPr="00513BF4">
        <w:rPr>
          <w:lang w:val="en-GB"/>
        </w:rPr>
        <w:t xml:space="preserve">The big </w:t>
      </w:r>
      <w:r w:rsidR="00E46791" w:rsidRPr="00513BF4">
        <w:rPr>
          <w:lang w:val="en-GB"/>
        </w:rPr>
        <w:t>difference</w:t>
      </w:r>
      <w:r w:rsidRPr="00513BF4">
        <w:rPr>
          <w:lang w:val="en-GB"/>
        </w:rPr>
        <w:t xml:space="preserve"> between the cost of a nutritious diet and the cost of an energy-based diet can be explained by </w:t>
      </w:r>
      <w:r w:rsidR="00E46791" w:rsidRPr="00513BF4">
        <w:rPr>
          <w:lang w:val="en-GB"/>
        </w:rPr>
        <w:t xml:space="preserve">the </w:t>
      </w:r>
      <w:r w:rsidRPr="00513BF4">
        <w:rPr>
          <w:lang w:val="en-GB"/>
        </w:rPr>
        <w:t xml:space="preserve">relatively high costs of nutrient dense foods. Vegetables, fruits and animal-source foods </w:t>
      </w:r>
      <w:r w:rsidR="007C3AE2" w:rsidRPr="00513BF4">
        <w:rPr>
          <w:lang w:val="en-GB"/>
        </w:rPr>
        <w:t>are</w:t>
      </w:r>
      <w:r w:rsidRPr="00513BF4">
        <w:rPr>
          <w:lang w:val="en-GB"/>
        </w:rPr>
        <w:t xml:space="preserve"> most expensive per calorie. On average, energy-dense foods such as grains, oil and sugar cost $</w:t>
      </w:r>
      <w:r w:rsidR="007C3AE2" w:rsidRPr="00513BF4">
        <w:rPr>
          <w:lang w:val="en-GB"/>
        </w:rPr>
        <w:t xml:space="preserve"> </w:t>
      </w:r>
      <w:r w:rsidRPr="00513BF4">
        <w:rPr>
          <w:lang w:val="en-GB"/>
        </w:rPr>
        <w:t>0.04 (oil, sugar) and $</w:t>
      </w:r>
      <w:r w:rsidR="007C3AE2" w:rsidRPr="00513BF4">
        <w:rPr>
          <w:lang w:val="en-GB"/>
        </w:rPr>
        <w:t xml:space="preserve"> </w:t>
      </w:r>
      <w:r w:rsidRPr="00513BF4">
        <w:rPr>
          <w:lang w:val="en-GB"/>
        </w:rPr>
        <w:t>0.08 (grains) per 100 calories; nutrient-dense foods cost $</w:t>
      </w:r>
      <w:r w:rsidR="007C3AE2" w:rsidRPr="00513BF4">
        <w:rPr>
          <w:lang w:val="en-GB"/>
        </w:rPr>
        <w:t xml:space="preserve"> </w:t>
      </w:r>
      <w:r w:rsidRPr="00513BF4">
        <w:rPr>
          <w:lang w:val="en-GB"/>
        </w:rPr>
        <w:t>0.32 (eggs) and $</w:t>
      </w:r>
      <w:r w:rsidR="007C3AE2" w:rsidRPr="00513BF4">
        <w:rPr>
          <w:lang w:val="en-GB"/>
        </w:rPr>
        <w:t xml:space="preserve"> </w:t>
      </w:r>
      <w:r w:rsidRPr="00513BF4">
        <w:rPr>
          <w:lang w:val="en-GB"/>
        </w:rPr>
        <w:t>0.52 (vegetables) per 100 calories</w:t>
      </w:r>
      <w:r w:rsidR="00E46791" w:rsidRPr="00513BF4">
        <w:rPr>
          <w:lang w:val="en-GB"/>
        </w:rPr>
        <w:t xml:space="preserve"> (WFP, 2019)</w:t>
      </w:r>
      <w:r w:rsidRPr="00513BF4">
        <w:rPr>
          <w:lang w:val="en-GB"/>
        </w:rPr>
        <w:t xml:space="preserve">. According to the </w:t>
      </w:r>
      <w:proofErr w:type="spellStart"/>
      <w:r w:rsidRPr="00513BF4">
        <w:rPr>
          <w:lang w:val="en-GB"/>
        </w:rPr>
        <w:t>CotD</w:t>
      </w:r>
      <w:proofErr w:type="spellEnd"/>
      <w:r w:rsidRPr="00513BF4">
        <w:rPr>
          <w:lang w:val="en-GB"/>
        </w:rPr>
        <w:t xml:space="preserve"> analysis, eight in ten households cannot afford to meet nutrient needs. Consequently, diets in Somalia are mainly based on staple foods (maize, sorghum, rice, wheat and pasta), oil and sugar, with limited consumption of nutritious foods. Furthermore, </w:t>
      </w:r>
      <w:r w:rsidR="00E46791" w:rsidRPr="00513BF4">
        <w:rPr>
          <w:lang w:val="en-GB"/>
        </w:rPr>
        <w:t>the a</w:t>
      </w:r>
      <w:r w:rsidRPr="00513BF4">
        <w:rPr>
          <w:lang w:val="en-GB"/>
        </w:rPr>
        <w:t xml:space="preserve">vailability of foods, particularly nutrient-dense foods such as green leafy vegetables and animal-source foods, is a major bottleneck for accessing a nutritious diet in many parts of Somalia. </w:t>
      </w:r>
      <w:r w:rsidR="00613D12">
        <w:rPr>
          <w:lang w:val="en-GB"/>
        </w:rPr>
        <w:t xml:space="preserve">The COVID-19 crisis is likely to further aggravate the availability of (nutritious) food in local markets. Already before the pandemic, </w:t>
      </w:r>
      <w:r w:rsidR="00613D12" w:rsidRPr="00513BF4">
        <w:rPr>
          <w:lang w:val="en-GB"/>
        </w:rPr>
        <w:t>a nutritious diet c</w:t>
      </w:r>
      <w:r w:rsidR="00613D12">
        <w:rPr>
          <w:lang w:val="en-GB"/>
        </w:rPr>
        <w:t>ould not</w:t>
      </w:r>
      <w:r w:rsidR="00613D12" w:rsidRPr="00513BF4">
        <w:rPr>
          <w:lang w:val="en-GB"/>
        </w:rPr>
        <w:t xml:space="preserve"> be achieved with the locally available foods.</w:t>
      </w:r>
    </w:p>
    <w:p w14:paraId="262D131F" w14:textId="101ADACE" w:rsidR="006946BF" w:rsidRPr="00513BF4" w:rsidRDefault="00793F7B" w:rsidP="00F906B4">
      <w:pPr>
        <w:jc w:val="both"/>
        <w:rPr>
          <w:lang w:val="en-GB"/>
        </w:rPr>
      </w:pPr>
      <w:r w:rsidRPr="00513BF4">
        <w:rPr>
          <w:lang w:val="en-GB"/>
        </w:rPr>
        <w:t>In order to address the challenge of non-</w:t>
      </w:r>
      <w:r w:rsidR="005B50C7" w:rsidRPr="00513BF4">
        <w:rPr>
          <w:lang w:val="en-GB"/>
        </w:rPr>
        <w:t>affordability</w:t>
      </w:r>
      <w:r w:rsidRPr="00513BF4">
        <w:rPr>
          <w:lang w:val="en-GB"/>
        </w:rPr>
        <w:t xml:space="preserve"> of a nutritious diet, the </w:t>
      </w:r>
      <w:proofErr w:type="spellStart"/>
      <w:r w:rsidRPr="00513BF4">
        <w:rPr>
          <w:lang w:val="en-GB"/>
        </w:rPr>
        <w:t>CotD</w:t>
      </w:r>
      <w:proofErr w:type="spellEnd"/>
      <w:r w:rsidRPr="00513BF4">
        <w:rPr>
          <w:lang w:val="en-GB"/>
        </w:rPr>
        <w:t xml:space="preserve"> analysis suggests different </w:t>
      </w:r>
      <w:r w:rsidR="00E46791" w:rsidRPr="00513BF4">
        <w:rPr>
          <w:lang w:val="en-GB"/>
        </w:rPr>
        <w:t>measures</w:t>
      </w:r>
      <w:r w:rsidRPr="00513BF4">
        <w:rPr>
          <w:lang w:val="en-GB"/>
        </w:rPr>
        <w:t xml:space="preserve"> on the demand and supply side, one of them being cash transfers. </w:t>
      </w:r>
    </w:p>
    <w:p w14:paraId="7FED86BD" w14:textId="77777777" w:rsidR="00793F7B" w:rsidRPr="00513BF4" w:rsidRDefault="00793F7B" w:rsidP="00F906B4">
      <w:pPr>
        <w:jc w:val="both"/>
        <w:rPr>
          <w:lang w:val="en-GB"/>
        </w:rPr>
      </w:pPr>
      <w:r w:rsidRPr="00513BF4">
        <w:rPr>
          <w:noProof/>
          <w:lang w:val="en-GB" w:eastAsia="en-GB"/>
        </w:rPr>
        <w:lastRenderedPageBreak/>
        <w:drawing>
          <wp:inline distT="0" distB="0" distL="0" distR="0" wp14:anchorId="143EF7B7" wp14:editId="6FDC54DE">
            <wp:extent cx="5549900" cy="2542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7431" cy="2559810"/>
                    </a:xfrm>
                    <a:prstGeom prst="rect">
                      <a:avLst/>
                    </a:prstGeom>
                    <a:noFill/>
                    <a:ln>
                      <a:noFill/>
                    </a:ln>
                  </pic:spPr>
                </pic:pic>
              </a:graphicData>
            </a:graphic>
          </wp:inline>
        </w:drawing>
      </w:r>
    </w:p>
    <w:p w14:paraId="64473EC1" w14:textId="6D01C245" w:rsidR="00793F7B" w:rsidRPr="00513BF4" w:rsidRDefault="00793F7B" w:rsidP="00F906B4">
      <w:pPr>
        <w:jc w:val="both"/>
        <w:rPr>
          <w:lang w:val="en-GB"/>
        </w:rPr>
      </w:pPr>
      <w:r w:rsidRPr="00513BF4">
        <w:rPr>
          <w:lang w:val="en-GB"/>
        </w:rPr>
        <w:t xml:space="preserve">Figure </w:t>
      </w:r>
      <w:r w:rsidR="0035394E" w:rsidRPr="00513BF4">
        <w:rPr>
          <w:lang w:val="en-GB"/>
        </w:rPr>
        <w:t>2</w:t>
      </w:r>
      <w:r w:rsidRPr="00513BF4">
        <w:rPr>
          <w:lang w:val="en-GB"/>
        </w:rPr>
        <w:t>. Measures to improve the affordability of a nutritious diet (</w:t>
      </w:r>
      <w:r w:rsidR="00920945" w:rsidRPr="00513BF4">
        <w:rPr>
          <w:lang w:val="en-GB"/>
        </w:rPr>
        <w:t>WFP, 2019</w:t>
      </w:r>
      <w:r w:rsidRPr="00513BF4">
        <w:rPr>
          <w:lang w:val="en-GB"/>
        </w:rPr>
        <w:t>)</w:t>
      </w:r>
    </w:p>
    <w:p w14:paraId="015B514E" w14:textId="17E46198" w:rsidR="00793F7B" w:rsidRPr="00513BF4" w:rsidRDefault="00793F7B" w:rsidP="00F906B4">
      <w:pPr>
        <w:jc w:val="both"/>
        <w:rPr>
          <w:lang w:val="en-GB"/>
        </w:rPr>
      </w:pPr>
      <w:r w:rsidRPr="00513BF4">
        <w:rPr>
          <w:lang w:val="en-GB"/>
        </w:rPr>
        <w:t xml:space="preserve">The </w:t>
      </w:r>
      <w:proofErr w:type="spellStart"/>
      <w:r w:rsidR="00E46791" w:rsidRPr="00513BF4">
        <w:rPr>
          <w:lang w:val="en-GB"/>
        </w:rPr>
        <w:t>CotD</w:t>
      </w:r>
      <w:proofErr w:type="spellEnd"/>
      <w:r w:rsidRPr="00513BF4">
        <w:rPr>
          <w:lang w:val="en-GB"/>
        </w:rPr>
        <w:t xml:space="preserve"> analysis </w:t>
      </w:r>
      <w:r w:rsidR="00990FE8" w:rsidRPr="00513BF4">
        <w:rPr>
          <w:lang w:val="en-GB"/>
        </w:rPr>
        <w:t>reviewed</w:t>
      </w:r>
      <w:r w:rsidRPr="00513BF4">
        <w:rPr>
          <w:lang w:val="en-GB"/>
        </w:rPr>
        <w:t xml:space="preserve"> </w:t>
      </w:r>
      <w:r w:rsidR="00E46791" w:rsidRPr="00513BF4">
        <w:rPr>
          <w:lang w:val="en-GB"/>
        </w:rPr>
        <w:t xml:space="preserve">the impact of different measures on </w:t>
      </w:r>
      <w:r w:rsidRPr="00513BF4">
        <w:rPr>
          <w:lang w:val="en-GB"/>
        </w:rPr>
        <w:t>the daily cost of a nutritious diet</w:t>
      </w:r>
      <w:r w:rsidR="00E46791" w:rsidRPr="00513BF4">
        <w:rPr>
          <w:lang w:val="en-GB"/>
        </w:rPr>
        <w:t xml:space="preserve">. </w:t>
      </w:r>
      <w:r w:rsidR="006E59A1" w:rsidRPr="00513BF4">
        <w:rPr>
          <w:lang w:val="en-GB"/>
        </w:rPr>
        <w:t xml:space="preserve">The analysis estimated that the delivery of a package consisting of </w:t>
      </w:r>
      <w:r w:rsidRPr="00513BF4">
        <w:rPr>
          <w:lang w:val="en-GB"/>
        </w:rPr>
        <w:t>LNS-MQ for a child 12-23 months; school meals for a school-aged child and adolescent girl, MMT for the breastfeeding mother, homestead production of goat’s milk for the household and a cash transfer of $70 per month</w:t>
      </w:r>
      <w:r w:rsidR="006E59A1" w:rsidRPr="00513BF4">
        <w:rPr>
          <w:lang w:val="en-GB"/>
        </w:rPr>
        <w:t xml:space="preserve">, </w:t>
      </w:r>
      <w:r w:rsidR="00990FE8" w:rsidRPr="00513BF4">
        <w:rPr>
          <w:lang w:val="en-GB"/>
        </w:rPr>
        <w:t xml:space="preserve">can </w:t>
      </w:r>
      <w:r w:rsidRPr="00513BF4">
        <w:rPr>
          <w:lang w:val="en-GB"/>
        </w:rPr>
        <w:t xml:space="preserve">reduce the daily cost of the nutritious diet for the modelled household from $6.96 to $4.04. The interventions would reduce the cost by $2.92 per day and the cash transfer would provide $1.61 per day, leaving the household with a remaining cost of $2.43, </w:t>
      </w:r>
      <w:r w:rsidR="00990FE8" w:rsidRPr="00513BF4">
        <w:rPr>
          <w:lang w:val="en-GB"/>
        </w:rPr>
        <w:t xml:space="preserve">which is </w:t>
      </w:r>
      <w:r w:rsidRPr="00513BF4">
        <w:rPr>
          <w:lang w:val="en-GB"/>
        </w:rPr>
        <w:t>affordable for most households</w:t>
      </w:r>
      <w:r w:rsidR="006E59A1" w:rsidRPr="00513BF4">
        <w:rPr>
          <w:lang w:val="en-GB"/>
        </w:rPr>
        <w:t xml:space="preserve"> (WFP, 2019)</w:t>
      </w:r>
      <w:r w:rsidRPr="00513BF4">
        <w:rPr>
          <w:lang w:val="en-GB"/>
        </w:rPr>
        <w:t>.</w:t>
      </w:r>
    </w:p>
    <w:p w14:paraId="6C8FA949" w14:textId="4D793DDC" w:rsidR="00613091" w:rsidRPr="00513BF4" w:rsidRDefault="00613091" w:rsidP="00F906B4">
      <w:pPr>
        <w:jc w:val="both"/>
        <w:rPr>
          <w:lang w:val="en-GB"/>
        </w:rPr>
      </w:pPr>
    </w:p>
    <w:p w14:paraId="20EE23D2" w14:textId="37F6412C" w:rsidR="00566ABA" w:rsidRPr="00513BF4" w:rsidRDefault="00566ABA" w:rsidP="00F906B4">
      <w:pPr>
        <w:pStyle w:val="Heading1"/>
        <w:jc w:val="both"/>
        <w:rPr>
          <w:lang w:val="en-GB"/>
        </w:rPr>
      </w:pPr>
      <w:bookmarkStart w:id="10" w:name="_Toc46392141"/>
      <w:r w:rsidRPr="00513BF4">
        <w:rPr>
          <w:lang w:val="en-GB"/>
        </w:rPr>
        <w:t>Conclusion</w:t>
      </w:r>
      <w:bookmarkEnd w:id="10"/>
      <w:r w:rsidR="00613091" w:rsidRPr="00513BF4">
        <w:rPr>
          <w:lang w:val="en-GB"/>
        </w:rPr>
        <w:t xml:space="preserve"> </w:t>
      </w:r>
    </w:p>
    <w:p w14:paraId="3EBEE656" w14:textId="1716376A" w:rsidR="00F82842" w:rsidRPr="00513BF4" w:rsidRDefault="001F7A20" w:rsidP="00F906B4">
      <w:pPr>
        <w:jc w:val="both"/>
        <w:rPr>
          <w:lang w:val="en-GB"/>
        </w:rPr>
      </w:pPr>
      <w:r w:rsidRPr="00513BF4">
        <w:rPr>
          <w:lang w:val="en-GB"/>
        </w:rPr>
        <w:t xml:space="preserve">The context of </w:t>
      </w:r>
      <w:r w:rsidR="00CF54D5" w:rsidRPr="00513BF4">
        <w:rPr>
          <w:lang w:val="en-GB"/>
        </w:rPr>
        <w:t>Somalia</w:t>
      </w:r>
      <w:r w:rsidRPr="00513BF4">
        <w:rPr>
          <w:lang w:val="en-GB"/>
        </w:rPr>
        <w:t xml:space="preserve"> is rich in experiences </w:t>
      </w:r>
      <w:r w:rsidR="00F82842" w:rsidRPr="00513BF4">
        <w:rPr>
          <w:lang w:val="en-GB"/>
        </w:rPr>
        <w:t xml:space="preserve">using CVA for nutrition outcomes. The projects reviewed as part </w:t>
      </w:r>
      <w:r w:rsidR="00C027C5" w:rsidRPr="00513BF4">
        <w:rPr>
          <w:lang w:val="en-GB"/>
        </w:rPr>
        <w:t xml:space="preserve">of this case study </w:t>
      </w:r>
      <w:r w:rsidR="00F82842" w:rsidRPr="00513BF4">
        <w:rPr>
          <w:lang w:val="en-GB"/>
        </w:rPr>
        <w:t>are just a selection of broader experience that has been accumulated in the past years. The project</w:t>
      </w:r>
      <w:r w:rsidR="00C027C5" w:rsidRPr="00513BF4">
        <w:rPr>
          <w:lang w:val="en-GB"/>
        </w:rPr>
        <w:t>s</w:t>
      </w:r>
      <w:r w:rsidR="00F82842" w:rsidRPr="00513BF4">
        <w:rPr>
          <w:lang w:val="en-GB"/>
        </w:rPr>
        <w:t xml:space="preserve"> illustrate the varied ways CVA can be used in a nutrition response and illustrate some broader lessons</w:t>
      </w:r>
      <w:r w:rsidR="00FF531D" w:rsidRPr="00513BF4">
        <w:rPr>
          <w:lang w:val="en-GB"/>
        </w:rPr>
        <w:t xml:space="preserve"> that have been observed in other contexts as well</w:t>
      </w:r>
      <w:r w:rsidR="00F82842" w:rsidRPr="00513BF4">
        <w:rPr>
          <w:lang w:val="en-GB"/>
        </w:rPr>
        <w:t>:</w:t>
      </w:r>
    </w:p>
    <w:p w14:paraId="77209369" w14:textId="3365865D" w:rsidR="00FF531D" w:rsidRPr="00513BF4" w:rsidRDefault="00FF531D" w:rsidP="00F906B4">
      <w:pPr>
        <w:pStyle w:val="ListParagraph"/>
        <w:numPr>
          <w:ilvl w:val="0"/>
          <w:numId w:val="29"/>
        </w:numPr>
        <w:jc w:val="both"/>
        <w:rPr>
          <w:lang w:val="en-GB"/>
        </w:rPr>
      </w:pPr>
      <w:r w:rsidRPr="00513BF4">
        <w:rPr>
          <w:lang w:val="en-GB"/>
        </w:rPr>
        <w:t xml:space="preserve">CVA </w:t>
      </w:r>
      <w:r w:rsidR="00C027C5" w:rsidRPr="00513BF4">
        <w:rPr>
          <w:lang w:val="en-GB"/>
        </w:rPr>
        <w:t xml:space="preserve">modalities </w:t>
      </w:r>
      <w:r w:rsidRPr="00513BF4">
        <w:rPr>
          <w:lang w:val="en-GB"/>
        </w:rPr>
        <w:t xml:space="preserve">can be part of preventative and treatment strategies but </w:t>
      </w:r>
      <w:r w:rsidR="004E5108" w:rsidRPr="00513BF4">
        <w:rPr>
          <w:lang w:val="en-GB"/>
        </w:rPr>
        <w:t>are</w:t>
      </w:r>
      <w:r w:rsidRPr="00513BF4">
        <w:rPr>
          <w:lang w:val="en-GB"/>
        </w:rPr>
        <w:t xml:space="preserve"> generally more suited for preventative approaches</w:t>
      </w:r>
      <w:r w:rsidR="004E5108" w:rsidRPr="00513BF4">
        <w:rPr>
          <w:lang w:val="en-GB"/>
        </w:rPr>
        <w:t>.</w:t>
      </w:r>
    </w:p>
    <w:p w14:paraId="36B3CFE4" w14:textId="58D321A3" w:rsidR="00F82842" w:rsidRPr="00513BF4" w:rsidRDefault="00F82842" w:rsidP="00F906B4">
      <w:pPr>
        <w:pStyle w:val="ListParagraph"/>
        <w:numPr>
          <w:ilvl w:val="0"/>
          <w:numId w:val="29"/>
        </w:numPr>
        <w:jc w:val="both"/>
        <w:rPr>
          <w:lang w:val="en-GB"/>
        </w:rPr>
      </w:pPr>
      <w:r w:rsidRPr="00513BF4">
        <w:rPr>
          <w:lang w:val="en-GB"/>
        </w:rPr>
        <w:t xml:space="preserve">CVA can be provided as household assistance </w:t>
      </w:r>
      <w:r w:rsidR="00C027C5" w:rsidRPr="00513BF4">
        <w:rPr>
          <w:lang w:val="en-GB"/>
        </w:rPr>
        <w:t xml:space="preserve">(e.g. MPC) </w:t>
      </w:r>
      <w:r w:rsidRPr="00513BF4">
        <w:rPr>
          <w:lang w:val="en-GB"/>
        </w:rPr>
        <w:t xml:space="preserve">or individualized assistance by addressing the specific nutritional requirements of </w:t>
      </w:r>
      <w:r w:rsidR="00C027C5" w:rsidRPr="00513BF4">
        <w:rPr>
          <w:lang w:val="en-GB"/>
        </w:rPr>
        <w:t>at</w:t>
      </w:r>
      <w:r w:rsidR="00FA2857" w:rsidRPr="00513BF4">
        <w:rPr>
          <w:lang w:val="en-GB"/>
        </w:rPr>
        <w:t>-</w:t>
      </w:r>
      <w:r w:rsidR="00C027C5" w:rsidRPr="00513BF4">
        <w:rPr>
          <w:lang w:val="en-GB"/>
        </w:rPr>
        <w:t>risk groups within households</w:t>
      </w:r>
      <w:r w:rsidR="00CF54D5" w:rsidRPr="00513BF4">
        <w:rPr>
          <w:lang w:val="en-GB"/>
        </w:rPr>
        <w:t xml:space="preserve"> (e.g. fresh food vouchers)</w:t>
      </w:r>
      <w:r w:rsidR="004E5108" w:rsidRPr="00513BF4">
        <w:rPr>
          <w:lang w:val="en-GB"/>
        </w:rPr>
        <w:t>.</w:t>
      </w:r>
    </w:p>
    <w:p w14:paraId="7BCC36CF" w14:textId="0AADEA45" w:rsidR="00F82842" w:rsidRPr="00513BF4" w:rsidRDefault="00F82842" w:rsidP="00F906B4">
      <w:pPr>
        <w:pStyle w:val="ListParagraph"/>
        <w:numPr>
          <w:ilvl w:val="0"/>
          <w:numId w:val="29"/>
        </w:numPr>
        <w:jc w:val="both"/>
        <w:rPr>
          <w:lang w:val="en-GB"/>
        </w:rPr>
      </w:pPr>
      <w:r w:rsidRPr="00513BF4">
        <w:rPr>
          <w:lang w:val="en-GB"/>
        </w:rPr>
        <w:t>C</w:t>
      </w:r>
      <w:r w:rsidR="00FF531D" w:rsidRPr="00513BF4">
        <w:rPr>
          <w:lang w:val="en-GB"/>
        </w:rPr>
        <w:t xml:space="preserve">ash transfers have </w:t>
      </w:r>
      <w:r w:rsidRPr="00513BF4">
        <w:rPr>
          <w:lang w:val="en-GB"/>
        </w:rPr>
        <w:t>a much better chance to impact nutrition outcomes</w:t>
      </w:r>
      <w:r w:rsidR="00C027C5" w:rsidRPr="00513BF4">
        <w:rPr>
          <w:lang w:val="en-GB"/>
        </w:rPr>
        <w:t xml:space="preserve"> of mothers and children</w:t>
      </w:r>
      <w:r w:rsidRPr="00513BF4">
        <w:rPr>
          <w:lang w:val="en-GB"/>
        </w:rPr>
        <w:t xml:space="preserve"> if provided alongside </w:t>
      </w:r>
      <w:r w:rsidR="00C027C5" w:rsidRPr="00513BF4">
        <w:rPr>
          <w:lang w:val="en-GB"/>
        </w:rPr>
        <w:t xml:space="preserve">context-specific </w:t>
      </w:r>
      <w:r w:rsidRPr="00513BF4">
        <w:rPr>
          <w:lang w:val="en-GB"/>
        </w:rPr>
        <w:t>nutrition SBC</w:t>
      </w:r>
      <w:r w:rsidR="004E5108" w:rsidRPr="00513BF4">
        <w:rPr>
          <w:lang w:val="en-GB"/>
        </w:rPr>
        <w:t>.</w:t>
      </w:r>
    </w:p>
    <w:p w14:paraId="4D01208C" w14:textId="5E6C5AFA" w:rsidR="007C13B1" w:rsidRPr="00513BF4" w:rsidRDefault="007C13B1" w:rsidP="00F906B4">
      <w:pPr>
        <w:pStyle w:val="ListParagraph"/>
        <w:numPr>
          <w:ilvl w:val="0"/>
          <w:numId w:val="29"/>
        </w:numPr>
        <w:jc w:val="both"/>
        <w:rPr>
          <w:lang w:val="en-GB"/>
        </w:rPr>
      </w:pPr>
      <w:r w:rsidRPr="00513BF4">
        <w:rPr>
          <w:lang w:val="en-GB"/>
        </w:rPr>
        <w:t>CVA conditional on attendance to health services can increase uptake of priority health services</w:t>
      </w:r>
      <w:r w:rsidR="00106F94">
        <w:rPr>
          <w:lang w:val="en-GB"/>
        </w:rPr>
        <w:t xml:space="preserve"> and in turn </w:t>
      </w:r>
      <w:r w:rsidR="00034937">
        <w:rPr>
          <w:lang w:val="en-GB"/>
        </w:rPr>
        <w:t>improve</w:t>
      </w:r>
      <w:r w:rsidR="00106F94">
        <w:rPr>
          <w:lang w:val="en-GB"/>
        </w:rPr>
        <w:t xml:space="preserve"> nutrition </w:t>
      </w:r>
      <w:r w:rsidR="00034937">
        <w:rPr>
          <w:lang w:val="en-GB"/>
        </w:rPr>
        <w:t>outcomes</w:t>
      </w:r>
      <w:r w:rsidRPr="00513BF4">
        <w:rPr>
          <w:lang w:val="en-GB"/>
        </w:rPr>
        <w:t>.</w:t>
      </w:r>
    </w:p>
    <w:p w14:paraId="50DBAC77" w14:textId="1F95C067" w:rsidR="00FF531D" w:rsidRPr="00513BF4" w:rsidRDefault="00FF531D" w:rsidP="00F906B4">
      <w:pPr>
        <w:pStyle w:val="ListParagraph"/>
        <w:numPr>
          <w:ilvl w:val="0"/>
          <w:numId w:val="29"/>
        </w:numPr>
        <w:jc w:val="both"/>
        <w:rPr>
          <w:lang w:val="en-GB"/>
        </w:rPr>
      </w:pPr>
      <w:r w:rsidRPr="00513BF4">
        <w:rPr>
          <w:lang w:val="en-GB"/>
        </w:rPr>
        <w:t xml:space="preserve">Targeting CVA based on the nutritional status of children in a treatment response </w:t>
      </w:r>
      <w:r w:rsidR="00CF54D5" w:rsidRPr="00513BF4">
        <w:rPr>
          <w:lang w:val="en-GB"/>
        </w:rPr>
        <w:t xml:space="preserve">should be used with caution as it </w:t>
      </w:r>
      <w:r w:rsidRPr="00513BF4">
        <w:rPr>
          <w:lang w:val="en-GB"/>
        </w:rPr>
        <w:t>can incentivize caregivers to keep or make their children malnourished</w:t>
      </w:r>
      <w:r w:rsidR="004E5108" w:rsidRPr="00513BF4">
        <w:rPr>
          <w:lang w:val="en-GB"/>
        </w:rPr>
        <w:t>.</w:t>
      </w:r>
    </w:p>
    <w:p w14:paraId="61BFBC3A" w14:textId="0EEFB28E" w:rsidR="00823D1D" w:rsidRPr="00513BF4" w:rsidRDefault="00FF531D" w:rsidP="00F906B4">
      <w:pPr>
        <w:jc w:val="both"/>
        <w:rPr>
          <w:lang w:val="en-GB"/>
        </w:rPr>
      </w:pPr>
      <w:r w:rsidRPr="00513BF4">
        <w:rPr>
          <w:lang w:val="en-GB"/>
        </w:rPr>
        <w:lastRenderedPageBreak/>
        <w:t>We further saw that</w:t>
      </w:r>
      <w:r w:rsidR="00CF54D5" w:rsidRPr="00513BF4">
        <w:rPr>
          <w:lang w:val="en-GB"/>
        </w:rPr>
        <w:t xml:space="preserve"> household</w:t>
      </w:r>
      <w:r w:rsidRPr="00513BF4">
        <w:rPr>
          <w:lang w:val="en-GB"/>
        </w:rPr>
        <w:t xml:space="preserve"> CVA </w:t>
      </w:r>
      <w:r w:rsidR="00CF54D5" w:rsidRPr="00513BF4">
        <w:rPr>
          <w:lang w:val="en-GB"/>
        </w:rPr>
        <w:t xml:space="preserve">(as a food security intervention or </w:t>
      </w:r>
      <w:r w:rsidRPr="00513BF4">
        <w:rPr>
          <w:lang w:val="en-GB"/>
        </w:rPr>
        <w:t>MPC</w:t>
      </w:r>
      <w:r w:rsidR="00CF54D5" w:rsidRPr="00513BF4">
        <w:rPr>
          <w:lang w:val="en-GB"/>
        </w:rPr>
        <w:t>)</w:t>
      </w:r>
      <w:r w:rsidRPr="00513BF4">
        <w:rPr>
          <w:lang w:val="en-GB"/>
        </w:rPr>
        <w:t xml:space="preserve"> have been rapidly expanding in the </w:t>
      </w:r>
      <w:r w:rsidR="00CF54D5" w:rsidRPr="00513BF4">
        <w:rPr>
          <w:lang w:val="en-GB"/>
        </w:rPr>
        <w:t>Somalia</w:t>
      </w:r>
      <w:r w:rsidRPr="00513BF4">
        <w:rPr>
          <w:lang w:val="en-GB"/>
        </w:rPr>
        <w:t xml:space="preserve"> context, which offers the opportunity of better </w:t>
      </w:r>
      <w:r w:rsidR="00CF54D5" w:rsidRPr="00513BF4">
        <w:rPr>
          <w:lang w:val="en-GB"/>
        </w:rPr>
        <w:t>applying a</w:t>
      </w:r>
      <w:r w:rsidRPr="00513BF4">
        <w:rPr>
          <w:lang w:val="en-GB"/>
        </w:rPr>
        <w:t xml:space="preserve"> nutrition </w:t>
      </w:r>
      <w:r w:rsidR="00CF54D5" w:rsidRPr="00513BF4">
        <w:rPr>
          <w:lang w:val="en-GB"/>
        </w:rPr>
        <w:t>lens to</w:t>
      </w:r>
      <w:r w:rsidRPr="00513BF4">
        <w:rPr>
          <w:lang w:val="en-GB"/>
        </w:rPr>
        <w:t xml:space="preserve"> the design and implementation of </w:t>
      </w:r>
      <w:r w:rsidR="00CF54D5" w:rsidRPr="00513BF4">
        <w:rPr>
          <w:lang w:val="en-GB"/>
        </w:rPr>
        <w:t>household cash transfers</w:t>
      </w:r>
      <w:r w:rsidRPr="00513BF4">
        <w:rPr>
          <w:lang w:val="en-GB"/>
        </w:rPr>
        <w:t>. A short analysis of the food component of the MEB</w:t>
      </w:r>
      <w:r w:rsidR="00CF54D5" w:rsidRPr="00513BF4">
        <w:rPr>
          <w:lang w:val="en-GB"/>
        </w:rPr>
        <w:t xml:space="preserve"> </w:t>
      </w:r>
      <w:proofErr w:type="gramStart"/>
      <w:r w:rsidR="00CF54D5" w:rsidRPr="00513BF4">
        <w:rPr>
          <w:lang w:val="en-GB"/>
        </w:rPr>
        <w:t>taking into account</w:t>
      </w:r>
      <w:proofErr w:type="gramEnd"/>
      <w:r w:rsidR="00CF54D5" w:rsidRPr="00513BF4">
        <w:rPr>
          <w:lang w:val="en-GB"/>
        </w:rPr>
        <w:t xml:space="preserve"> the findings of the Cost of the Diet analysis</w:t>
      </w:r>
      <w:r w:rsidRPr="00513BF4">
        <w:rPr>
          <w:lang w:val="en-GB"/>
        </w:rPr>
        <w:t xml:space="preserve"> suggest</w:t>
      </w:r>
      <w:r w:rsidR="007C13B1" w:rsidRPr="00513BF4">
        <w:rPr>
          <w:lang w:val="en-GB"/>
        </w:rPr>
        <w:t>s</w:t>
      </w:r>
      <w:r w:rsidRPr="00513BF4">
        <w:rPr>
          <w:lang w:val="en-GB"/>
        </w:rPr>
        <w:t xml:space="preserve"> that the MEB </w:t>
      </w:r>
      <w:r w:rsidR="00CF54D5" w:rsidRPr="00513BF4">
        <w:rPr>
          <w:lang w:val="en-GB"/>
        </w:rPr>
        <w:t xml:space="preserve">falls short </w:t>
      </w:r>
      <w:r w:rsidR="007C13B1" w:rsidRPr="00513BF4">
        <w:rPr>
          <w:lang w:val="en-GB"/>
        </w:rPr>
        <w:t>of</w:t>
      </w:r>
      <w:r w:rsidRPr="00513BF4">
        <w:rPr>
          <w:lang w:val="en-GB"/>
        </w:rPr>
        <w:t xml:space="preserve"> address</w:t>
      </w:r>
      <w:r w:rsidR="007C13B1" w:rsidRPr="00513BF4">
        <w:rPr>
          <w:lang w:val="en-GB"/>
        </w:rPr>
        <w:t>ing</w:t>
      </w:r>
      <w:r w:rsidRPr="00513BF4">
        <w:rPr>
          <w:lang w:val="en-GB"/>
        </w:rPr>
        <w:t xml:space="preserve"> the micronutrient needs of </w:t>
      </w:r>
      <w:r w:rsidR="003D2CEA" w:rsidRPr="00513BF4">
        <w:rPr>
          <w:lang w:val="en-GB"/>
        </w:rPr>
        <w:t>targeted households and individuals</w:t>
      </w:r>
      <w:r w:rsidRPr="00513BF4">
        <w:rPr>
          <w:lang w:val="en-GB"/>
        </w:rPr>
        <w:t>.</w:t>
      </w:r>
      <w:r w:rsidR="00CA26E8" w:rsidRPr="00513BF4">
        <w:rPr>
          <w:lang w:val="en-GB"/>
        </w:rPr>
        <w:t xml:space="preserve"> Lastly, targeting could offer another way to improve the nutrition sensitivity of </w:t>
      </w:r>
      <w:r w:rsidR="003D2CEA" w:rsidRPr="00513BF4">
        <w:rPr>
          <w:lang w:val="en-GB"/>
        </w:rPr>
        <w:t>household CVA</w:t>
      </w:r>
      <w:r w:rsidR="00CA26E8" w:rsidRPr="00513BF4">
        <w:rPr>
          <w:lang w:val="en-GB"/>
        </w:rPr>
        <w:t xml:space="preserve"> in the context of </w:t>
      </w:r>
      <w:r w:rsidR="003D2CEA" w:rsidRPr="00513BF4">
        <w:rPr>
          <w:lang w:val="en-GB"/>
        </w:rPr>
        <w:t>Somalia</w:t>
      </w:r>
      <w:r w:rsidR="00CA26E8" w:rsidRPr="00513BF4">
        <w:rPr>
          <w:lang w:val="en-GB"/>
        </w:rPr>
        <w:t>.</w:t>
      </w:r>
    </w:p>
    <w:p w14:paraId="46C25FDB" w14:textId="77777777" w:rsidR="0005181B" w:rsidRPr="00513BF4" w:rsidRDefault="0005181B" w:rsidP="00F906B4">
      <w:pPr>
        <w:jc w:val="both"/>
        <w:rPr>
          <w:lang w:val="en-GB"/>
        </w:rPr>
      </w:pPr>
    </w:p>
    <w:p w14:paraId="334585E7" w14:textId="7465000C" w:rsidR="004E5108" w:rsidRPr="00513BF4" w:rsidRDefault="00823D1D" w:rsidP="00F906B4">
      <w:pPr>
        <w:pStyle w:val="Heading1"/>
        <w:jc w:val="both"/>
        <w:rPr>
          <w:lang w:val="en-GB"/>
        </w:rPr>
      </w:pPr>
      <w:bookmarkStart w:id="11" w:name="_Toc46392142"/>
      <w:r w:rsidRPr="00513BF4">
        <w:rPr>
          <w:lang w:val="en-GB"/>
        </w:rPr>
        <w:t>Recommendations</w:t>
      </w:r>
      <w:bookmarkEnd w:id="11"/>
    </w:p>
    <w:p w14:paraId="20B18605" w14:textId="490AB1D4" w:rsidR="00CF54D5" w:rsidRPr="00513BF4" w:rsidRDefault="00CA26E8" w:rsidP="007F59B6">
      <w:pPr>
        <w:jc w:val="both"/>
        <w:rPr>
          <w:lang w:val="en-GB"/>
        </w:rPr>
      </w:pPr>
      <w:r w:rsidRPr="00513BF4">
        <w:rPr>
          <w:lang w:val="en-GB"/>
        </w:rPr>
        <w:t xml:space="preserve">Based on these conclusions, the case study </w:t>
      </w:r>
      <w:r w:rsidRPr="00513BF4">
        <w:rPr>
          <w:b/>
          <w:bCs/>
          <w:lang w:val="en-GB"/>
        </w:rPr>
        <w:t>recommends the following actions</w:t>
      </w:r>
      <w:r w:rsidRPr="00513BF4">
        <w:rPr>
          <w:lang w:val="en-GB"/>
        </w:rPr>
        <w:t>:</w:t>
      </w:r>
    </w:p>
    <w:p w14:paraId="7978238D" w14:textId="320E681F" w:rsidR="00CA26E8" w:rsidRPr="00513BF4" w:rsidRDefault="00A02BEF" w:rsidP="00F906B4">
      <w:pPr>
        <w:jc w:val="both"/>
        <w:rPr>
          <w:i/>
          <w:iCs/>
          <w:lang w:val="en-GB"/>
        </w:rPr>
      </w:pPr>
      <w:r w:rsidRPr="00513BF4">
        <w:rPr>
          <w:i/>
          <w:iCs/>
          <w:lang w:val="en-GB"/>
        </w:rPr>
        <w:t>To the Nutrition Cluster</w:t>
      </w:r>
      <w:r w:rsidR="00E735EA" w:rsidRPr="00513BF4">
        <w:rPr>
          <w:i/>
          <w:iCs/>
          <w:lang w:val="en-GB"/>
        </w:rPr>
        <w:t xml:space="preserve"> (NC)</w:t>
      </w:r>
      <w:r w:rsidR="004E5108" w:rsidRPr="00513BF4">
        <w:rPr>
          <w:i/>
          <w:iCs/>
          <w:lang w:val="en-GB"/>
        </w:rPr>
        <w:t xml:space="preserve">: </w:t>
      </w:r>
    </w:p>
    <w:p w14:paraId="45B6C9CC" w14:textId="59318718" w:rsidR="00A02BEF" w:rsidRPr="00513BF4" w:rsidRDefault="000E5866" w:rsidP="00F906B4">
      <w:pPr>
        <w:pStyle w:val="ListParagraph"/>
        <w:numPr>
          <w:ilvl w:val="0"/>
          <w:numId w:val="30"/>
        </w:numPr>
        <w:jc w:val="both"/>
        <w:rPr>
          <w:lang w:val="en-GB"/>
        </w:rPr>
      </w:pPr>
      <w:r w:rsidRPr="00513BF4">
        <w:rPr>
          <w:lang w:val="en-GB"/>
        </w:rPr>
        <w:t xml:space="preserve">Engage </w:t>
      </w:r>
      <w:r w:rsidR="007F59B6" w:rsidRPr="00513BF4">
        <w:rPr>
          <w:lang w:val="en-GB"/>
        </w:rPr>
        <w:t>stronger</w:t>
      </w:r>
      <w:r w:rsidRPr="00513BF4">
        <w:rPr>
          <w:lang w:val="en-GB"/>
        </w:rPr>
        <w:t xml:space="preserve"> on documentation </w:t>
      </w:r>
      <w:r w:rsidR="003D2CEA" w:rsidRPr="00513BF4">
        <w:rPr>
          <w:lang w:val="en-GB"/>
        </w:rPr>
        <w:t>of</w:t>
      </w:r>
      <w:r w:rsidRPr="00513BF4">
        <w:rPr>
          <w:lang w:val="en-GB"/>
        </w:rPr>
        <w:t xml:space="preserve"> emerging experiences and learning from nutrition responses with CVA components. </w:t>
      </w:r>
    </w:p>
    <w:p w14:paraId="7AB37646" w14:textId="753D251C" w:rsidR="003D2CEA" w:rsidRPr="00513BF4" w:rsidRDefault="003D2CEA" w:rsidP="007F59B6">
      <w:pPr>
        <w:pStyle w:val="ListParagraph"/>
        <w:numPr>
          <w:ilvl w:val="0"/>
          <w:numId w:val="30"/>
        </w:numPr>
        <w:jc w:val="both"/>
        <w:rPr>
          <w:lang w:val="en-GB"/>
        </w:rPr>
      </w:pPr>
      <w:r w:rsidRPr="00513BF4">
        <w:rPr>
          <w:lang w:val="en-GB"/>
        </w:rPr>
        <w:t>Set up a regular exchange forum with the Cash Working Group to discuss: Reporting, learning and dissemination, opportunities to integrate CVA modalities in the nutrition sector</w:t>
      </w:r>
      <w:r w:rsidR="0032314B" w:rsidRPr="00513BF4">
        <w:rPr>
          <w:lang w:val="en-GB"/>
        </w:rPr>
        <w:t xml:space="preserve"> based on the upcoming evidence and guidance note</w:t>
      </w:r>
      <w:r w:rsidRPr="00513BF4">
        <w:rPr>
          <w:lang w:val="en-GB"/>
        </w:rPr>
        <w:t>, opportunities to improve nutrition sensitivity of household cash transfers, MEB and transfer amounts</w:t>
      </w:r>
      <w:r w:rsidR="004B37D3" w:rsidRPr="00513BF4">
        <w:rPr>
          <w:lang w:val="en-GB"/>
        </w:rPr>
        <w:t>, etc</w:t>
      </w:r>
      <w:r w:rsidR="0032314B" w:rsidRPr="00513BF4">
        <w:rPr>
          <w:lang w:val="en-GB"/>
        </w:rPr>
        <w:t>.</w:t>
      </w:r>
    </w:p>
    <w:p w14:paraId="760FBA8F" w14:textId="05207D74" w:rsidR="0032314B" w:rsidRPr="00513BF4" w:rsidRDefault="0032314B" w:rsidP="0032314B">
      <w:pPr>
        <w:pStyle w:val="ListParagraph"/>
        <w:numPr>
          <w:ilvl w:val="0"/>
          <w:numId w:val="30"/>
        </w:numPr>
        <w:jc w:val="both"/>
        <w:rPr>
          <w:lang w:val="en-GB"/>
        </w:rPr>
      </w:pPr>
      <w:r w:rsidRPr="00513BF4">
        <w:rPr>
          <w:lang w:val="en-GB"/>
        </w:rPr>
        <w:t>Based on the findings of the Cost of the Diet analysis and in close collaboration with the FSC, advise the Cash Working Group and partners on how to reflect a nutritious diet in the</w:t>
      </w:r>
      <w:r w:rsidR="004B37D3" w:rsidRPr="00513BF4">
        <w:rPr>
          <w:lang w:val="en-GB"/>
        </w:rPr>
        <w:t xml:space="preserve"> food component of the</w:t>
      </w:r>
      <w:r w:rsidRPr="00513BF4">
        <w:rPr>
          <w:lang w:val="en-GB"/>
        </w:rPr>
        <w:t xml:space="preserve"> MEB.</w:t>
      </w:r>
    </w:p>
    <w:p w14:paraId="326EF20B" w14:textId="305522C5" w:rsidR="0032314B" w:rsidRPr="00513BF4" w:rsidRDefault="0032314B" w:rsidP="0032314B">
      <w:pPr>
        <w:pStyle w:val="ListParagraph"/>
        <w:numPr>
          <w:ilvl w:val="0"/>
          <w:numId w:val="30"/>
        </w:numPr>
        <w:jc w:val="both"/>
        <w:rPr>
          <w:lang w:val="en-GB"/>
        </w:rPr>
      </w:pPr>
      <w:r w:rsidRPr="00513BF4">
        <w:rPr>
          <w:lang w:val="en-GB"/>
        </w:rPr>
        <w:t xml:space="preserve">In close coordination with the FSC and other partners, consider promoting measures to improve the affordability of a nutritious diet in the context of Somalia (see recommendations from the Fill the Nutrient Gap </w:t>
      </w:r>
      <w:r w:rsidR="004B37D3" w:rsidRPr="00513BF4">
        <w:rPr>
          <w:lang w:val="en-GB"/>
        </w:rPr>
        <w:t>report</w:t>
      </w:r>
      <w:r w:rsidRPr="00513BF4">
        <w:rPr>
          <w:lang w:val="en-GB"/>
        </w:rPr>
        <w:t>).</w:t>
      </w:r>
    </w:p>
    <w:p w14:paraId="30AA7969" w14:textId="345FAFF6" w:rsidR="0032314B" w:rsidRPr="00513BF4" w:rsidRDefault="0032314B" w:rsidP="0032314B">
      <w:pPr>
        <w:pStyle w:val="ListParagraph"/>
        <w:numPr>
          <w:ilvl w:val="0"/>
          <w:numId w:val="30"/>
        </w:numPr>
        <w:jc w:val="both"/>
        <w:rPr>
          <w:lang w:val="en-GB"/>
        </w:rPr>
      </w:pPr>
      <w:r w:rsidRPr="00513BF4">
        <w:rPr>
          <w:lang w:val="en-GB"/>
        </w:rPr>
        <w:t>In collaboration with the CINS team</w:t>
      </w:r>
      <w:r w:rsidR="004B37D3" w:rsidRPr="00513BF4">
        <w:rPr>
          <w:lang w:val="en-GB"/>
        </w:rPr>
        <w:t xml:space="preserve">, </w:t>
      </w:r>
      <w:r w:rsidRPr="00513BF4">
        <w:rPr>
          <w:lang w:val="en-GB"/>
        </w:rPr>
        <w:t>the CWG</w:t>
      </w:r>
      <w:r w:rsidR="004B37D3" w:rsidRPr="00513BF4">
        <w:rPr>
          <w:lang w:val="en-GB"/>
        </w:rPr>
        <w:t xml:space="preserve"> and the FSC</w:t>
      </w:r>
      <w:r w:rsidRPr="00513BF4">
        <w:rPr>
          <w:lang w:val="en-GB"/>
        </w:rPr>
        <w:t>, explore the possibility to use</w:t>
      </w:r>
      <w:r w:rsidR="004B37D3" w:rsidRPr="00513BF4">
        <w:rPr>
          <w:lang w:val="en-GB"/>
        </w:rPr>
        <w:t xml:space="preserve"> and integrate</w:t>
      </w:r>
      <w:r w:rsidRPr="00513BF4">
        <w:rPr>
          <w:lang w:val="en-GB"/>
        </w:rPr>
        <w:t xml:space="preserve"> mHealth messaging </w:t>
      </w:r>
      <w:r w:rsidR="00E735EA" w:rsidRPr="00513BF4">
        <w:rPr>
          <w:lang w:val="en-GB"/>
        </w:rPr>
        <w:t>as part of household cash transfer programmes.</w:t>
      </w:r>
    </w:p>
    <w:p w14:paraId="134BBA3C" w14:textId="3BD8BE42" w:rsidR="00A02BEF" w:rsidRPr="00513BF4" w:rsidRDefault="00A02BEF" w:rsidP="00F906B4">
      <w:pPr>
        <w:jc w:val="both"/>
        <w:rPr>
          <w:i/>
          <w:iCs/>
          <w:lang w:val="en-GB"/>
        </w:rPr>
      </w:pPr>
      <w:r w:rsidRPr="00513BF4">
        <w:rPr>
          <w:i/>
          <w:iCs/>
          <w:lang w:val="en-GB"/>
        </w:rPr>
        <w:t>To the Cash Working Group</w:t>
      </w:r>
      <w:r w:rsidR="00E735EA" w:rsidRPr="00513BF4">
        <w:rPr>
          <w:i/>
          <w:iCs/>
          <w:lang w:val="en-GB"/>
        </w:rPr>
        <w:t xml:space="preserve"> (CWG)</w:t>
      </w:r>
      <w:r w:rsidR="004E5108" w:rsidRPr="00513BF4">
        <w:rPr>
          <w:i/>
          <w:iCs/>
          <w:lang w:val="en-GB"/>
        </w:rPr>
        <w:t xml:space="preserve">: </w:t>
      </w:r>
    </w:p>
    <w:p w14:paraId="466B2B6C" w14:textId="6D7CAEFF" w:rsidR="008C52B8" w:rsidRPr="00513BF4" w:rsidRDefault="008C52B8" w:rsidP="00F906B4">
      <w:pPr>
        <w:pStyle w:val="ListParagraph"/>
        <w:numPr>
          <w:ilvl w:val="0"/>
          <w:numId w:val="32"/>
        </w:numPr>
        <w:jc w:val="both"/>
        <w:rPr>
          <w:lang w:val="en-GB"/>
        </w:rPr>
      </w:pPr>
      <w:r w:rsidRPr="00513BF4">
        <w:rPr>
          <w:lang w:val="en-GB"/>
        </w:rPr>
        <w:t xml:space="preserve">Set up a regular exchange forum with the Nutrition Cluster (see above) </w:t>
      </w:r>
    </w:p>
    <w:p w14:paraId="05E45957" w14:textId="77777777" w:rsidR="0032314B" w:rsidRPr="00513BF4" w:rsidRDefault="0032314B" w:rsidP="0032314B">
      <w:pPr>
        <w:pStyle w:val="ListParagraph"/>
        <w:numPr>
          <w:ilvl w:val="0"/>
          <w:numId w:val="32"/>
        </w:numPr>
        <w:jc w:val="both"/>
        <w:rPr>
          <w:lang w:val="en-GB"/>
        </w:rPr>
      </w:pPr>
      <w:r w:rsidRPr="00513BF4">
        <w:rPr>
          <w:lang w:val="en-GB"/>
        </w:rPr>
        <w:t>Consider reviewing the food component of the MEB to include nutritious food and better reflect micronutrient requirements; consequently, consider reviewing the transfer value of household cash transfers (food security sector interventions and MPC) in order to better contribute to nutrition outcomes.</w:t>
      </w:r>
    </w:p>
    <w:p w14:paraId="199E9288" w14:textId="16E90EAA" w:rsidR="000E5866" w:rsidRPr="00513BF4" w:rsidRDefault="000E5866" w:rsidP="0032314B">
      <w:pPr>
        <w:pStyle w:val="ListParagraph"/>
        <w:numPr>
          <w:ilvl w:val="0"/>
          <w:numId w:val="32"/>
        </w:numPr>
        <w:jc w:val="both"/>
        <w:rPr>
          <w:lang w:val="en-GB"/>
        </w:rPr>
      </w:pPr>
      <w:r w:rsidRPr="00513BF4">
        <w:rPr>
          <w:lang w:val="en-GB"/>
        </w:rPr>
        <w:t xml:space="preserve">Consult the Nutrition Cluster </w:t>
      </w:r>
      <w:r w:rsidR="0032314B" w:rsidRPr="00513BF4">
        <w:rPr>
          <w:lang w:val="en-GB"/>
        </w:rPr>
        <w:t>on the food component of the</w:t>
      </w:r>
      <w:r w:rsidRPr="00513BF4">
        <w:rPr>
          <w:lang w:val="en-GB"/>
        </w:rPr>
        <w:t xml:space="preserve"> MEB</w:t>
      </w:r>
    </w:p>
    <w:p w14:paraId="60F38C5C" w14:textId="7D060F8F" w:rsidR="00E735EA" w:rsidRPr="00513BF4" w:rsidRDefault="00E735EA" w:rsidP="00E735EA">
      <w:pPr>
        <w:pStyle w:val="ListParagraph"/>
        <w:numPr>
          <w:ilvl w:val="0"/>
          <w:numId w:val="32"/>
        </w:numPr>
        <w:jc w:val="both"/>
        <w:rPr>
          <w:lang w:val="en-GB"/>
        </w:rPr>
      </w:pPr>
      <w:r w:rsidRPr="00513BF4">
        <w:rPr>
          <w:lang w:val="en-GB"/>
        </w:rPr>
        <w:t>In collaboration with the CINS team and the NC, explore the possibility to use mHealth messaging as part of household cash transfer programmes</w:t>
      </w:r>
    </w:p>
    <w:p w14:paraId="453F2C21" w14:textId="61CC7229" w:rsidR="000E5866" w:rsidRPr="00513BF4" w:rsidRDefault="000E5866" w:rsidP="00F906B4">
      <w:pPr>
        <w:pStyle w:val="ListParagraph"/>
        <w:numPr>
          <w:ilvl w:val="0"/>
          <w:numId w:val="32"/>
        </w:numPr>
        <w:jc w:val="both"/>
        <w:rPr>
          <w:lang w:val="en-GB"/>
        </w:rPr>
      </w:pPr>
      <w:r w:rsidRPr="00513BF4">
        <w:rPr>
          <w:lang w:val="en-GB"/>
        </w:rPr>
        <w:t>Advise as required nutrition partners on technical aspects of CVA and market assessment</w:t>
      </w:r>
    </w:p>
    <w:p w14:paraId="3148B152" w14:textId="43A14C99" w:rsidR="00A02BEF" w:rsidRPr="00513BF4" w:rsidRDefault="00A02BEF" w:rsidP="00F906B4">
      <w:pPr>
        <w:jc w:val="both"/>
        <w:rPr>
          <w:i/>
          <w:iCs/>
          <w:lang w:val="en-GB"/>
        </w:rPr>
      </w:pPr>
      <w:r w:rsidRPr="00513BF4">
        <w:rPr>
          <w:i/>
          <w:iCs/>
          <w:lang w:val="en-GB"/>
        </w:rPr>
        <w:t>To nutrition</w:t>
      </w:r>
      <w:r w:rsidR="007F59B6" w:rsidRPr="00513BF4">
        <w:rPr>
          <w:i/>
          <w:iCs/>
          <w:lang w:val="en-GB"/>
        </w:rPr>
        <w:t xml:space="preserve"> and CVA</w:t>
      </w:r>
      <w:r w:rsidRPr="00513BF4">
        <w:rPr>
          <w:i/>
          <w:iCs/>
          <w:lang w:val="en-GB"/>
        </w:rPr>
        <w:t xml:space="preserve"> partners</w:t>
      </w:r>
      <w:r w:rsidR="004E5108" w:rsidRPr="00513BF4">
        <w:rPr>
          <w:i/>
          <w:iCs/>
          <w:lang w:val="en-GB"/>
        </w:rPr>
        <w:t xml:space="preserve">: </w:t>
      </w:r>
    </w:p>
    <w:p w14:paraId="19532384" w14:textId="200C574A" w:rsidR="0032314B" w:rsidRPr="00513BF4" w:rsidRDefault="0032314B" w:rsidP="00F906B4">
      <w:pPr>
        <w:pStyle w:val="ListParagraph"/>
        <w:numPr>
          <w:ilvl w:val="0"/>
          <w:numId w:val="33"/>
        </w:numPr>
        <w:jc w:val="both"/>
        <w:rPr>
          <w:lang w:val="en-GB"/>
        </w:rPr>
      </w:pPr>
      <w:r w:rsidRPr="00513BF4">
        <w:rPr>
          <w:lang w:val="en-GB"/>
        </w:rPr>
        <w:t xml:space="preserve">Consider </w:t>
      </w:r>
      <w:r w:rsidR="004B37D3" w:rsidRPr="00513BF4">
        <w:rPr>
          <w:lang w:val="en-GB"/>
        </w:rPr>
        <w:t>paring</w:t>
      </w:r>
      <w:r w:rsidRPr="00513BF4">
        <w:rPr>
          <w:lang w:val="en-GB"/>
        </w:rPr>
        <w:t xml:space="preserve"> household cash transfers with SNF, especially in areas with limited availability of nutritious foods</w:t>
      </w:r>
      <w:r w:rsidR="00A021ED">
        <w:rPr>
          <w:lang w:val="en-GB"/>
        </w:rPr>
        <w:t xml:space="preserve"> and high rates of acute malnutrition. </w:t>
      </w:r>
    </w:p>
    <w:p w14:paraId="27087332" w14:textId="5A5C261E" w:rsidR="007F59B6" w:rsidRPr="00513BF4" w:rsidRDefault="007F59B6" w:rsidP="00F906B4">
      <w:pPr>
        <w:pStyle w:val="ListParagraph"/>
        <w:numPr>
          <w:ilvl w:val="0"/>
          <w:numId w:val="33"/>
        </w:numPr>
        <w:jc w:val="both"/>
        <w:rPr>
          <w:lang w:val="en-GB"/>
        </w:rPr>
      </w:pPr>
      <w:r w:rsidRPr="00513BF4">
        <w:rPr>
          <w:lang w:val="en-GB"/>
        </w:rPr>
        <w:lastRenderedPageBreak/>
        <w:t>Invest in monitoring to better measure results and document lessons learned in using CVA for nutrition outcomes</w:t>
      </w:r>
      <w:r w:rsidR="000A5E84">
        <w:rPr>
          <w:lang w:val="en-GB"/>
        </w:rPr>
        <w:t xml:space="preserve">. Some suggestions on monitoring of CVA for nutrition outcomes can be found in Annex 4. </w:t>
      </w:r>
    </w:p>
    <w:p w14:paraId="7C574C9E" w14:textId="1E04539D" w:rsidR="00B55EC5" w:rsidRPr="00513BF4" w:rsidRDefault="000E5866" w:rsidP="00F906B4">
      <w:pPr>
        <w:pStyle w:val="ListParagraph"/>
        <w:numPr>
          <w:ilvl w:val="0"/>
          <w:numId w:val="33"/>
        </w:numPr>
        <w:jc w:val="both"/>
        <w:rPr>
          <w:lang w:val="en-GB"/>
        </w:rPr>
      </w:pPr>
      <w:r w:rsidRPr="00513BF4">
        <w:rPr>
          <w:lang w:val="en-GB"/>
        </w:rPr>
        <w:t>Document and disseminate learning on CVA in nutrition responses</w:t>
      </w:r>
    </w:p>
    <w:p w14:paraId="3FB47252" w14:textId="77777777" w:rsidR="00034937" w:rsidRDefault="00034937">
      <w:pPr>
        <w:rPr>
          <w:rFonts w:eastAsiaTheme="majorEastAsia" w:cstheme="majorBidi"/>
          <w:b/>
          <w:noProof/>
          <w:color w:val="91C93D"/>
          <w:sz w:val="28"/>
          <w:szCs w:val="32"/>
          <w:lang w:val="en-GB"/>
        </w:rPr>
      </w:pPr>
      <w:r>
        <w:rPr>
          <w:noProof/>
          <w:lang w:val="en-GB"/>
        </w:rPr>
        <w:br w:type="page"/>
      </w:r>
    </w:p>
    <w:p w14:paraId="5250E8BC" w14:textId="7DEB1C95" w:rsidR="00F906B4" w:rsidRPr="00513BF4" w:rsidRDefault="00F906B4" w:rsidP="00F906B4">
      <w:pPr>
        <w:pStyle w:val="Heading1"/>
        <w:numPr>
          <w:ilvl w:val="0"/>
          <w:numId w:val="0"/>
        </w:numPr>
        <w:rPr>
          <w:noProof/>
          <w:lang w:val="en-GB"/>
        </w:rPr>
      </w:pPr>
      <w:bookmarkStart w:id="12" w:name="_Toc46392143"/>
      <w:r w:rsidRPr="00513BF4">
        <w:rPr>
          <w:noProof/>
          <w:lang w:val="en-GB"/>
        </w:rPr>
        <w:lastRenderedPageBreak/>
        <w:t>References</w:t>
      </w:r>
      <w:bookmarkEnd w:id="12"/>
    </w:p>
    <w:p w14:paraId="1A947500" w14:textId="77777777" w:rsidR="00B6479B" w:rsidRPr="00513BF4" w:rsidRDefault="00B6479B">
      <w:pPr>
        <w:rPr>
          <w:lang w:val="en-GB"/>
        </w:rPr>
      </w:pPr>
      <w:r w:rsidRPr="00513BF4">
        <w:rPr>
          <w:lang w:val="en-GB"/>
        </w:rPr>
        <w:t xml:space="preserve">CWG (2020). Somalia Cash and Markets Quarterly Dashboard – monthly update April 2020. Available from </w:t>
      </w:r>
      <w:hyperlink r:id="rId16" w:history="1">
        <w:r w:rsidRPr="00513BF4">
          <w:rPr>
            <w:rStyle w:val="Hyperlink"/>
            <w:lang w:val="en-GB"/>
          </w:rPr>
          <w:t>https://www.humanitarianresponse.info/sites/www.humanitarianresponse.info/files/documents/files/reach_som_dashboard_cash_working_group_apr_2020.pdf</w:t>
        </w:r>
      </w:hyperlink>
    </w:p>
    <w:p w14:paraId="74296D88" w14:textId="77777777" w:rsidR="00B6479B" w:rsidRPr="000A5E84" w:rsidRDefault="00B6479B" w:rsidP="00B6479B">
      <w:pPr>
        <w:rPr>
          <w:lang w:val="fr-FR"/>
        </w:rPr>
      </w:pPr>
      <w:proofErr w:type="spellStart"/>
      <w:r w:rsidRPr="00513BF4">
        <w:rPr>
          <w:lang w:val="en-GB"/>
        </w:rPr>
        <w:t>Doocy</w:t>
      </w:r>
      <w:proofErr w:type="spellEnd"/>
      <w:r w:rsidRPr="00513BF4">
        <w:rPr>
          <w:lang w:val="en-GB"/>
        </w:rPr>
        <w:t xml:space="preserve"> S, Busingye M, Lyles E, </w:t>
      </w:r>
      <w:proofErr w:type="spellStart"/>
      <w:r w:rsidRPr="00513BF4">
        <w:rPr>
          <w:lang w:val="en-GB"/>
        </w:rPr>
        <w:t>Colantouni</w:t>
      </w:r>
      <w:proofErr w:type="spellEnd"/>
      <w:r w:rsidRPr="00513BF4">
        <w:rPr>
          <w:lang w:val="en-GB"/>
        </w:rPr>
        <w:t xml:space="preserve"> E, </w:t>
      </w:r>
      <w:proofErr w:type="spellStart"/>
      <w:r w:rsidRPr="00513BF4">
        <w:rPr>
          <w:lang w:val="en-GB"/>
        </w:rPr>
        <w:t>Aidam</w:t>
      </w:r>
      <w:proofErr w:type="spellEnd"/>
      <w:r w:rsidRPr="00513BF4">
        <w:rPr>
          <w:lang w:val="en-GB"/>
        </w:rPr>
        <w:t xml:space="preserve"> B, </w:t>
      </w:r>
      <w:proofErr w:type="spellStart"/>
      <w:r w:rsidRPr="00513BF4">
        <w:rPr>
          <w:lang w:val="en-GB"/>
        </w:rPr>
        <w:t>Ebulu</w:t>
      </w:r>
      <w:proofErr w:type="spellEnd"/>
      <w:r w:rsidRPr="00513BF4">
        <w:rPr>
          <w:lang w:val="en-GB"/>
        </w:rPr>
        <w:t xml:space="preserve"> G, Savage K (2020a). Cash and voucher assistance and children's nutrition status in Somalia. </w:t>
      </w:r>
      <w:hyperlink r:id="rId17" w:history="1">
        <w:r w:rsidRPr="000A5E84">
          <w:rPr>
            <w:rStyle w:val="Hyperlink"/>
            <w:lang w:val="fr-FR"/>
          </w:rPr>
          <w:t>https://doi.org/10.1111/mcn.12966</w:t>
        </w:r>
      </w:hyperlink>
      <w:r w:rsidRPr="000A5E84">
        <w:rPr>
          <w:lang w:val="fr-FR"/>
        </w:rPr>
        <w:t xml:space="preserve"> </w:t>
      </w:r>
    </w:p>
    <w:p w14:paraId="67C09D8A" w14:textId="745BE134" w:rsidR="00B6479B" w:rsidRPr="00513BF4" w:rsidRDefault="00B6479B" w:rsidP="00B6479B">
      <w:pPr>
        <w:rPr>
          <w:lang w:val="en-GB"/>
        </w:rPr>
      </w:pPr>
      <w:proofErr w:type="spellStart"/>
      <w:r w:rsidRPr="000A5E84">
        <w:rPr>
          <w:lang w:val="fr-FR"/>
        </w:rPr>
        <w:t>Doocy</w:t>
      </w:r>
      <w:proofErr w:type="spellEnd"/>
      <w:r w:rsidRPr="000A5E84">
        <w:rPr>
          <w:lang w:val="fr-FR"/>
        </w:rPr>
        <w:t xml:space="preserve"> S, Busingye M, </w:t>
      </w:r>
      <w:proofErr w:type="spellStart"/>
      <w:r w:rsidRPr="000A5E84">
        <w:rPr>
          <w:lang w:val="fr-FR"/>
        </w:rPr>
        <w:t>Lyles</w:t>
      </w:r>
      <w:proofErr w:type="spellEnd"/>
      <w:r w:rsidRPr="000A5E84">
        <w:rPr>
          <w:lang w:val="fr-FR"/>
        </w:rPr>
        <w:t xml:space="preserve"> E, </w:t>
      </w:r>
      <w:proofErr w:type="spellStart"/>
      <w:r w:rsidRPr="000A5E84">
        <w:rPr>
          <w:lang w:val="fr-FR"/>
        </w:rPr>
        <w:t>Colantouni</w:t>
      </w:r>
      <w:proofErr w:type="spellEnd"/>
      <w:r w:rsidRPr="000A5E84">
        <w:rPr>
          <w:lang w:val="fr-FR"/>
        </w:rPr>
        <w:t xml:space="preserve"> E, </w:t>
      </w:r>
      <w:proofErr w:type="spellStart"/>
      <w:r w:rsidRPr="000A5E84">
        <w:rPr>
          <w:lang w:val="fr-FR"/>
        </w:rPr>
        <w:t>Aidam</w:t>
      </w:r>
      <w:proofErr w:type="spellEnd"/>
      <w:r w:rsidRPr="000A5E84">
        <w:rPr>
          <w:lang w:val="fr-FR"/>
        </w:rPr>
        <w:t xml:space="preserve"> B, </w:t>
      </w:r>
      <w:proofErr w:type="spellStart"/>
      <w:r w:rsidRPr="000A5E84">
        <w:rPr>
          <w:lang w:val="fr-FR"/>
        </w:rPr>
        <w:t>Ebulu</w:t>
      </w:r>
      <w:proofErr w:type="spellEnd"/>
      <w:r w:rsidRPr="000A5E84">
        <w:rPr>
          <w:lang w:val="fr-FR"/>
        </w:rPr>
        <w:t xml:space="preserve"> G, et al. </w:t>
      </w:r>
      <w:r w:rsidRPr="00513BF4">
        <w:rPr>
          <w:lang w:val="en-GB"/>
        </w:rPr>
        <w:t xml:space="preserve">(2020b) Cash-based assistance and the nutrition status of pregnant and lactating women in the Somalia food crisis: A comparison of two transfer modalities. </w:t>
      </w:r>
      <w:proofErr w:type="spellStart"/>
      <w:r w:rsidRPr="00513BF4">
        <w:rPr>
          <w:lang w:val="en-GB"/>
        </w:rPr>
        <w:t>PLoS</w:t>
      </w:r>
      <w:proofErr w:type="spellEnd"/>
      <w:r w:rsidRPr="00513BF4">
        <w:rPr>
          <w:lang w:val="en-GB"/>
        </w:rPr>
        <w:t xml:space="preserve"> ONE 15(4): e0230989. </w:t>
      </w:r>
      <w:hyperlink r:id="rId18" w:history="1">
        <w:r w:rsidRPr="00513BF4">
          <w:rPr>
            <w:rStyle w:val="Hyperlink"/>
            <w:lang w:val="en-GB"/>
          </w:rPr>
          <w:t>https://doi.org/10.1371/journal.pone.0230989</w:t>
        </w:r>
      </w:hyperlink>
    </w:p>
    <w:p w14:paraId="6D54B330" w14:textId="77777777" w:rsidR="0005181B" w:rsidRPr="00513BF4" w:rsidRDefault="0005181B" w:rsidP="009B4F9D">
      <w:pPr>
        <w:rPr>
          <w:lang w:val="en-GB"/>
        </w:rPr>
      </w:pPr>
      <w:r w:rsidRPr="00513BF4">
        <w:rPr>
          <w:lang w:val="en-GB"/>
        </w:rPr>
        <w:t xml:space="preserve">GNC (2020). Draft evidence and guidance note on the use of CVA for nutrition outcomes. Not yet published </w:t>
      </w:r>
    </w:p>
    <w:p w14:paraId="1446DA1C" w14:textId="5C7E1E13" w:rsidR="009B4F9D" w:rsidRPr="00513BF4" w:rsidRDefault="009B4F9D" w:rsidP="009B4F9D">
      <w:pPr>
        <w:rPr>
          <w:lang w:val="en-GB"/>
        </w:rPr>
      </w:pPr>
      <w:proofErr w:type="spellStart"/>
      <w:r w:rsidRPr="00513BF4">
        <w:rPr>
          <w:lang w:val="en-GB"/>
        </w:rPr>
        <w:t>Grellety</w:t>
      </w:r>
      <w:proofErr w:type="spellEnd"/>
      <w:r w:rsidRPr="00513BF4">
        <w:rPr>
          <w:lang w:val="en-GB"/>
        </w:rPr>
        <w:t xml:space="preserve"> E, </w:t>
      </w:r>
      <w:proofErr w:type="spellStart"/>
      <w:r w:rsidRPr="00513BF4">
        <w:rPr>
          <w:lang w:val="en-GB"/>
        </w:rPr>
        <w:t>Babakazo</w:t>
      </w:r>
      <w:proofErr w:type="spellEnd"/>
      <w:r w:rsidRPr="00513BF4">
        <w:rPr>
          <w:lang w:val="en-GB"/>
        </w:rPr>
        <w:t xml:space="preserve"> P, </w:t>
      </w:r>
      <w:proofErr w:type="spellStart"/>
      <w:r w:rsidRPr="00513BF4">
        <w:rPr>
          <w:lang w:val="en-GB"/>
        </w:rPr>
        <w:t>Bangana</w:t>
      </w:r>
      <w:proofErr w:type="spellEnd"/>
      <w:r w:rsidRPr="00513BF4">
        <w:rPr>
          <w:lang w:val="en-GB"/>
        </w:rPr>
        <w:t xml:space="preserve"> A, Mwamba G, Lezama I, Zagre N, </w:t>
      </w:r>
      <w:proofErr w:type="spellStart"/>
      <w:r w:rsidRPr="00513BF4">
        <w:rPr>
          <w:lang w:val="en-GB"/>
        </w:rPr>
        <w:t>Ategbo</w:t>
      </w:r>
      <w:proofErr w:type="spellEnd"/>
      <w:r w:rsidRPr="00513BF4">
        <w:rPr>
          <w:lang w:val="en-GB"/>
        </w:rPr>
        <w:t xml:space="preserve"> E-A (2017). Effects of unconditional cash transfers on the outcome of treatment for severe acute malnutrition (SAM): a cluster-randomised trial in the Democratic Republic of the Congo. BMC Medicine, volume 15, Article number: 87. </w:t>
      </w:r>
      <w:hyperlink r:id="rId19" w:history="1">
        <w:r w:rsidRPr="00513BF4">
          <w:rPr>
            <w:rStyle w:val="Hyperlink"/>
            <w:lang w:val="en-GB"/>
          </w:rPr>
          <w:t>https://bmcmedicine.biomedcentral.com/articles/10.1186/s12916-017-0848-y</w:t>
        </w:r>
      </w:hyperlink>
    </w:p>
    <w:p w14:paraId="359AC9B5" w14:textId="77777777" w:rsidR="00B6479B" w:rsidRPr="00513BF4" w:rsidRDefault="00B6479B" w:rsidP="00B6479B">
      <w:pPr>
        <w:rPr>
          <w:rStyle w:val="Hyperlink"/>
          <w:lang w:val="en-GB"/>
        </w:rPr>
      </w:pPr>
      <w:r w:rsidRPr="00513BF4">
        <w:rPr>
          <w:lang w:val="en-GB"/>
        </w:rPr>
        <w:t xml:space="preserve">Grijalva-Eternod CS, Jelle M, </w:t>
      </w:r>
      <w:proofErr w:type="spellStart"/>
      <w:r w:rsidRPr="00513BF4">
        <w:rPr>
          <w:lang w:val="en-GB"/>
        </w:rPr>
        <w:t>Haghparast-Bidgoli</w:t>
      </w:r>
      <w:proofErr w:type="spellEnd"/>
      <w:r w:rsidRPr="00513BF4">
        <w:rPr>
          <w:lang w:val="en-GB"/>
        </w:rPr>
        <w:t xml:space="preserve"> H, Colbourn T, Golden K, King S, et al. (2018) A cash-based intervention and the risk of acute malnutrition in children aged 6–59 months living in internally displaced persons camps in Mogadishu, Somalia: A non-randomised cluster trial. </w:t>
      </w:r>
      <w:proofErr w:type="spellStart"/>
      <w:r w:rsidRPr="00513BF4">
        <w:rPr>
          <w:lang w:val="en-GB"/>
        </w:rPr>
        <w:t>PLoS</w:t>
      </w:r>
      <w:proofErr w:type="spellEnd"/>
      <w:r w:rsidRPr="00513BF4">
        <w:rPr>
          <w:lang w:val="en-GB"/>
        </w:rPr>
        <w:t xml:space="preserve"> Med 15(10): e1002684. </w:t>
      </w:r>
      <w:hyperlink r:id="rId20" w:history="1">
        <w:r w:rsidRPr="00513BF4">
          <w:rPr>
            <w:rStyle w:val="Hyperlink"/>
            <w:lang w:val="en-GB"/>
          </w:rPr>
          <w:t>https://doi.org/10.1371/journal.pmed.1002684</w:t>
        </w:r>
      </w:hyperlink>
    </w:p>
    <w:p w14:paraId="2ECF112C" w14:textId="77777777" w:rsidR="00827A2D" w:rsidRPr="00513BF4" w:rsidRDefault="00827A2D" w:rsidP="00827A2D">
      <w:pPr>
        <w:rPr>
          <w:lang w:val="en-GB"/>
        </w:rPr>
      </w:pPr>
      <w:r w:rsidRPr="00513BF4">
        <w:rPr>
          <w:lang w:val="en-GB"/>
        </w:rPr>
        <w:t>Humanitarian Response Plan</w:t>
      </w:r>
      <w:r>
        <w:rPr>
          <w:lang w:val="en-GB"/>
        </w:rPr>
        <w:t xml:space="preserve"> (HRP) for</w:t>
      </w:r>
      <w:r w:rsidRPr="00513BF4">
        <w:rPr>
          <w:lang w:val="en-GB"/>
        </w:rPr>
        <w:t xml:space="preserve"> Somalia </w:t>
      </w:r>
      <w:r>
        <w:rPr>
          <w:lang w:val="en-GB"/>
        </w:rPr>
        <w:t>(</w:t>
      </w:r>
      <w:r w:rsidRPr="00513BF4">
        <w:rPr>
          <w:lang w:val="en-GB"/>
        </w:rPr>
        <w:t>2020</w:t>
      </w:r>
      <w:r>
        <w:rPr>
          <w:lang w:val="en-GB"/>
        </w:rPr>
        <w:t>)</w:t>
      </w:r>
      <w:r w:rsidRPr="00513BF4">
        <w:rPr>
          <w:lang w:val="en-GB"/>
        </w:rPr>
        <w:t xml:space="preserve">. Retrieved from </w:t>
      </w:r>
      <w:hyperlink r:id="rId21" w:history="1">
        <w:r w:rsidRPr="00513BF4">
          <w:rPr>
            <w:rStyle w:val="Hyperlink"/>
            <w:lang w:val="en-GB"/>
          </w:rPr>
          <w:t>https://reliefweb.int/report/somalia/somalia-humanitarian-response-plan-2020-january-2020</w:t>
        </w:r>
      </w:hyperlink>
    </w:p>
    <w:p w14:paraId="6CC94AF1" w14:textId="77777777" w:rsidR="00200D0E" w:rsidRPr="00513BF4" w:rsidRDefault="00200D0E" w:rsidP="00B6479B">
      <w:pPr>
        <w:rPr>
          <w:rStyle w:val="Strong"/>
          <w:rFonts w:cstheme="minorHAnsi"/>
          <w:b w:val="0"/>
          <w:bCs w:val="0"/>
          <w:color w:val="222222"/>
          <w:lang w:val="en-GB"/>
        </w:rPr>
      </w:pPr>
      <w:r w:rsidRPr="00513BF4">
        <w:rPr>
          <w:rStyle w:val="Strong"/>
          <w:rFonts w:cstheme="minorHAnsi"/>
          <w:b w:val="0"/>
          <w:bCs w:val="0"/>
          <w:color w:val="222222"/>
          <w:lang w:val="en-GB"/>
        </w:rPr>
        <w:t>ICRC (2019). Cash transfer programming to reduce malnutrition – executive brief. Internal resource.</w:t>
      </w:r>
    </w:p>
    <w:p w14:paraId="3BDC5B45" w14:textId="6F66F2BA" w:rsidR="00B6479B" w:rsidRPr="00513BF4" w:rsidRDefault="00B6479B" w:rsidP="00B6479B">
      <w:pPr>
        <w:rPr>
          <w:rStyle w:val="Hyperlink"/>
          <w:lang w:val="en-GB"/>
        </w:rPr>
      </w:pPr>
      <w:r w:rsidRPr="00513BF4">
        <w:rPr>
          <w:lang w:val="en-GB"/>
        </w:rPr>
        <w:t xml:space="preserve">REFANI (2015). Literature Review. Retrieved from </w:t>
      </w:r>
      <w:hyperlink r:id="rId22" w:history="1">
        <w:r w:rsidRPr="00513BF4">
          <w:rPr>
            <w:rStyle w:val="Hyperlink"/>
            <w:lang w:val="en-GB"/>
          </w:rPr>
          <w:t>https://www.actionagainsthunger.org/publication/2015/09/refani-literature-review</w:t>
        </w:r>
      </w:hyperlink>
    </w:p>
    <w:p w14:paraId="79B212B8" w14:textId="7A977C38" w:rsidR="00B45484" w:rsidRDefault="00B45484" w:rsidP="00B6479B">
      <w:pPr>
        <w:rPr>
          <w:lang w:val="en-GB"/>
        </w:rPr>
      </w:pPr>
      <w:r>
        <w:rPr>
          <w:lang w:val="en-GB"/>
        </w:rPr>
        <w:t>UCL and Concern (2020). Cash for improved nutrition in Somalia. Preliminary results. Unpublished</w:t>
      </w:r>
    </w:p>
    <w:p w14:paraId="38773E6C" w14:textId="222ED51A" w:rsidR="00B6479B" w:rsidRPr="00513BF4" w:rsidRDefault="00B6479B" w:rsidP="00B6479B">
      <w:pPr>
        <w:rPr>
          <w:lang w:val="en-GB"/>
        </w:rPr>
      </w:pPr>
      <w:r w:rsidRPr="00513BF4">
        <w:rPr>
          <w:lang w:val="en-GB"/>
        </w:rPr>
        <w:t xml:space="preserve">WFP (2019). Fill the Nutrient Gap Somalia – summary report. Unpublished. </w:t>
      </w:r>
    </w:p>
    <w:p w14:paraId="736E8E2D" w14:textId="1BF2369E" w:rsidR="00D156FD" w:rsidRPr="00513BF4" w:rsidRDefault="00D156FD" w:rsidP="00B6479B">
      <w:pPr>
        <w:rPr>
          <w:lang w:val="en-GB"/>
        </w:rPr>
      </w:pPr>
    </w:p>
    <w:p w14:paraId="6FAAFFCA" w14:textId="6C3E91F4" w:rsidR="00B6479B" w:rsidRPr="00513BF4" w:rsidRDefault="00B6479B">
      <w:pPr>
        <w:rPr>
          <w:lang w:val="en-GB"/>
        </w:rPr>
      </w:pPr>
    </w:p>
    <w:p w14:paraId="5940686D" w14:textId="42E0A71E" w:rsidR="00B6479B" w:rsidRPr="00513BF4" w:rsidRDefault="00B6479B">
      <w:pPr>
        <w:rPr>
          <w:lang w:val="en-GB"/>
        </w:rPr>
      </w:pPr>
    </w:p>
    <w:p w14:paraId="3F78046A" w14:textId="77777777" w:rsidR="00B6479B" w:rsidRPr="00513BF4" w:rsidRDefault="00B6479B">
      <w:pPr>
        <w:rPr>
          <w:lang w:val="en-GB"/>
        </w:rPr>
      </w:pPr>
    </w:p>
    <w:p w14:paraId="7D31DD8A" w14:textId="09700E15" w:rsidR="00F906B4" w:rsidRPr="00513BF4" w:rsidRDefault="00F906B4">
      <w:pPr>
        <w:rPr>
          <w:lang w:val="en-GB"/>
        </w:rPr>
      </w:pPr>
      <w:r w:rsidRPr="00513BF4">
        <w:rPr>
          <w:lang w:val="en-GB"/>
        </w:rPr>
        <w:br w:type="page"/>
      </w:r>
    </w:p>
    <w:p w14:paraId="2B48696A" w14:textId="29F45953" w:rsidR="0036176B" w:rsidRPr="00513BF4" w:rsidRDefault="0036176B" w:rsidP="00F906B4">
      <w:pPr>
        <w:pStyle w:val="Heading1"/>
        <w:numPr>
          <w:ilvl w:val="0"/>
          <w:numId w:val="0"/>
        </w:numPr>
        <w:jc w:val="both"/>
        <w:rPr>
          <w:lang w:val="en-GB"/>
        </w:rPr>
      </w:pPr>
      <w:bookmarkStart w:id="13" w:name="_Toc46392144"/>
      <w:r w:rsidRPr="00513BF4">
        <w:rPr>
          <w:lang w:val="en-GB"/>
        </w:rPr>
        <w:lastRenderedPageBreak/>
        <w:t>Annex 1: Demand and supply side barriers to adequate nutrition</w:t>
      </w:r>
      <w:bookmarkEnd w:id="13"/>
    </w:p>
    <w:p w14:paraId="16C76611" w14:textId="1BCF5A26" w:rsidR="00134D67" w:rsidRDefault="00134D67" w:rsidP="00F906B4">
      <w:pPr>
        <w:jc w:val="both"/>
        <w:rPr>
          <w:i/>
          <w:iCs/>
          <w:lang w:val="en-GB"/>
        </w:rPr>
      </w:pPr>
      <w:r w:rsidRPr="00513BF4">
        <w:rPr>
          <w:i/>
          <w:iCs/>
          <w:lang w:val="en-GB"/>
        </w:rPr>
        <w:t>From: GNC (2020). Draft evidence and guidance note on the use of CVA for nutrition outcomes.</w:t>
      </w:r>
    </w:p>
    <w:tbl>
      <w:tblPr>
        <w:tblW w:w="9900" w:type="dxa"/>
        <w:tblLayout w:type="fixed"/>
        <w:tblCellMar>
          <w:left w:w="0" w:type="dxa"/>
          <w:right w:w="0" w:type="dxa"/>
        </w:tblCellMar>
        <w:tblLook w:val="04A0" w:firstRow="1" w:lastRow="0" w:firstColumn="1" w:lastColumn="0" w:noHBand="0" w:noVBand="1"/>
      </w:tblPr>
      <w:tblGrid>
        <w:gridCol w:w="5755"/>
        <w:gridCol w:w="360"/>
        <w:gridCol w:w="3785"/>
      </w:tblGrid>
      <w:tr w:rsidR="00034937" w:rsidRPr="007C3202" w14:paraId="57A21BDE" w14:textId="77777777" w:rsidTr="009D61C9">
        <w:trPr>
          <w:trHeight w:val="155"/>
        </w:trPr>
        <w:tc>
          <w:tcPr>
            <w:tcW w:w="5755" w:type="dxa"/>
            <w:shd w:val="clear" w:color="auto" w:fill="D9D9D9" w:themeFill="background1" w:themeFillShade="D9"/>
            <w:tcMar>
              <w:top w:w="15" w:type="dxa"/>
              <w:left w:w="60" w:type="dxa"/>
              <w:bottom w:w="0" w:type="dxa"/>
              <w:right w:w="60" w:type="dxa"/>
            </w:tcMar>
            <w:vAlign w:val="center"/>
            <w:hideMark/>
          </w:tcPr>
          <w:p w14:paraId="704D9CA9" w14:textId="77777777" w:rsidR="00034937" w:rsidRPr="007C3202" w:rsidRDefault="00034937" w:rsidP="009D61C9">
            <w:pPr>
              <w:spacing w:after="0"/>
              <w:jc w:val="center"/>
              <w:rPr>
                <w:sz w:val="20"/>
                <w:szCs w:val="20"/>
                <w:lang w:val="en-GB"/>
              </w:rPr>
            </w:pPr>
            <w:r w:rsidRPr="007C3202">
              <w:rPr>
                <w:b/>
                <w:bCs/>
                <w:sz w:val="20"/>
                <w:szCs w:val="20"/>
                <w:lang w:val="en-GB"/>
              </w:rPr>
              <w:t>Demand-side barriers</w:t>
            </w:r>
          </w:p>
        </w:tc>
        <w:tc>
          <w:tcPr>
            <w:tcW w:w="360" w:type="dxa"/>
            <w:shd w:val="clear" w:color="auto" w:fill="D9D9D9" w:themeFill="background1" w:themeFillShade="D9"/>
            <w:tcMar>
              <w:top w:w="15" w:type="dxa"/>
              <w:left w:w="60" w:type="dxa"/>
              <w:bottom w:w="0" w:type="dxa"/>
              <w:right w:w="60" w:type="dxa"/>
            </w:tcMar>
            <w:vAlign w:val="center"/>
          </w:tcPr>
          <w:p w14:paraId="6C80019E" w14:textId="77777777" w:rsidR="00034937" w:rsidRPr="007C3202" w:rsidRDefault="00034937" w:rsidP="009D61C9">
            <w:pPr>
              <w:spacing w:after="0"/>
              <w:jc w:val="center"/>
              <w:rPr>
                <w:sz w:val="20"/>
                <w:szCs w:val="20"/>
                <w:lang w:val="en-GB"/>
              </w:rPr>
            </w:pPr>
          </w:p>
        </w:tc>
        <w:tc>
          <w:tcPr>
            <w:tcW w:w="3785" w:type="dxa"/>
            <w:shd w:val="clear" w:color="auto" w:fill="D9D9D9" w:themeFill="background1" w:themeFillShade="D9"/>
            <w:vAlign w:val="center"/>
          </w:tcPr>
          <w:p w14:paraId="05CAFEEA" w14:textId="77777777" w:rsidR="00034937" w:rsidRPr="007C3202" w:rsidRDefault="00034937" w:rsidP="009D61C9">
            <w:pPr>
              <w:spacing w:after="0"/>
              <w:jc w:val="center"/>
              <w:rPr>
                <w:sz w:val="20"/>
                <w:szCs w:val="20"/>
                <w:lang w:val="en-GB"/>
              </w:rPr>
            </w:pPr>
            <w:r w:rsidRPr="007C3202">
              <w:rPr>
                <w:b/>
                <w:bCs/>
                <w:sz w:val="20"/>
                <w:szCs w:val="20"/>
                <w:lang w:val="en-GB"/>
              </w:rPr>
              <w:t>Supply-side barriers</w:t>
            </w:r>
          </w:p>
        </w:tc>
      </w:tr>
      <w:tr w:rsidR="00034937" w:rsidRPr="007C3202" w14:paraId="74204ADD" w14:textId="77777777" w:rsidTr="009D61C9">
        <w:trPr>
          <w:trHeight w:val="65"/>
        </w:trPr>
        <w:tc>
          <w:tcPr>
            <w:tcW w:w="9900" w:type="dxa"/>
            <w:gridSpan w:val="3"/>
            <w:shd w:val="clear" w:color="auto" w:fill="C5E0B3" w:themeFill="accent6" w:themeFillTint="66"/>
            <w:tcMar>
              <w:top w:w="15" w:type="dxa"/>
              <w:left w:w="60" w:type="dxa"/>
              <w:bottom w:w="0" w:type="dxa"/>
              <w:right w:w="60" w:type="dxa"/>
            </w:tcMar>
          </w:tcPr>
          <w:p w14:paraId="0113EAB8" w14:textId="77777777" w:rsidR="00034937" w:rsidRPr="007C3202" w:rsidRDefault="00034937" w:rsidP="009D61C9">
            <w:pPr>
              <w:spacing w:after="0"/>
              <w:ind w:left="360"/>
              <w:jc w:val="center"/>
              <w:rPr>
                <w:sz w:val="20"/>
                <w:szCs w:val="20"/>
                <w:lang w:val="en-GB"/>
              </w:rPr>
            </w:pPr>
            <w:r w:rsidRPr="007C3202">
              <w:rPr>
                <w:b/>
                <w:bCs/>
                <w:sz w:val="20"/>
                <w:szCs w:val="20"/>
                <w:lang w:val="en-GB"/>
              </w:rPr>
              <w:t>Underlying determinant: adequate food</w:t>
            </w:r>
          </w:p>
        </w:tc>
      </w:tr>
      <w:tr w:rsidR="00034937" w:rsidRPr="007C3202" w14:paraId="273624CD" w14:textId="77777777" w:rsidTr="009D61C9">
        <w:trPr>
          <w:trHeight w:val="1863"/>
        </w:trPr>
        <w:tc>
          <w:tcPr>
            <w:tcW w:w="5755" w:type="dxa"/>
            <w:shd w:val="clear" w:color="auto" w:fill="E2EFD9" w:themeFill="accent6" w:themeFillTint="33"/>
            <w:tcMar>
              <w:top w:w="15" w:type="dxa"/>
              <w:left w:w="60" w:type="dxa"/>
              <w:bottom w:w="0" w:type="dxa"/>
              <w:right w:w="60" w:type="dxa"/>
            </w:tcMar>
            <w:hideMark/>
          </w:tcPr>
          <w:p w14:paraId="15E4FF11" w14:textId="77777777" w:rsidR="00034937" w:rsidRPr="007C3202" w:rsidRDefault="00034937" w:rsidP="00034937">
            <w:pPr>
              <w:numPr>
                <w:ilvl w:val="0"/>
                <w:numId w:val="35"/>
              </w:numPr>
              <w:spacing w:after="0" w:line="252" w:lineRule="auto"/>
              <w:jc w:val="both"/>
              <w:rPr>
                <w:sz w:val="20"/>
                <w:szCs w:val="20"/>
                <w:lang w:val="en-GB"/>
              </w:rPr>
            </w:pPr>
            <w:r w:rsidRPr="007C3202">
              <w:rPr>
                <w:sz w:val="20"/>
                <w:szCs w:val="20"/>
                <w:lang w:val="en-GB"/>
              </w:rPr>
              <w:t>Inadequate production of nutritious foods for HH consumption</w:t>
            </w:r>
          </w:p>
          <w:p w14:paraId="0D19FB15" w14:textId="77777777" w:rsidR="00034937" w:rsidRPr="007C3202" w:rsidRDefault="00034937" w:rsidP="00034937">
            <w:pPr>
              <w:numPr>
                <w:ilvl w:val="0"/>
                <w:numId w:val="35"/>
              </w:numPr>
              <w:spacing w:after="0" w:line="252" w:lineRule="auto"/>
              <w:jc w:val="both"/>
              <w:rPr>
                <w:sz w:val="20"/>
                <w:szCs w:val="20"/>
                <w:lang w:val="en-GB"/>
              </w:rPr>
            </w:pPr>
            <w:r w:rsidRPr="007C3202">
              <w:rPr>
                <w:sz w:val="20"/>
                <w:szCs w:val="20"/>
                <w:lang w:val="en-GB"/>
              </w:rPr>
              <w:t>Insufficient knowledge and skills on nutritious diet preparation</w:t>
            </w:r>
          </w:p>
          <w:p w14:paraId="38C2082E" w14:textId="77777777" w:rsidR="00034937" w:rsidRPr="007C3202" w:rsidRDefault="00034937" w:rsidP="00034937">
            <w:pPr>
              <w:numPr>
                <w:ilvl w:val="0"/>
                <w:numId w:val="35"/>
              </w:numPr>
              <w:spacing w:after="0" w:line="252" w:lineRule="auto"/>
              <w:jc w:val="both"/>
              <w:rPr>
                <w:sz w:val="20"/>
                <w:szCs w:val="20"/>
                <w:lang w:val="en-GB"/>
              </w:rPr>
            </w:pPr>
            <w:r w:rsidRPr="007C3202">
              <w:rPr>
                <w:sz w:val="20"/>
                <w:szCs w:val="20"/>
                <w:highlight w:val="yellow"/>
                <w:lang w:val="en-GB"/>
              </w:rPr>
              <w:t xml:space="preserve">Nutritious </w:t>
            </w:r>
            <w:r w:rsidRPr="007C3202">
              <w:rPr>
                <w:rStyle w:val="CommentReference"/>
                <w:sz w:val="20"/>
                <w:szCs w:val="20"/>
                <w:highlight w:val="yellow"/>
                <w:lang w:val="en-GB"/>
              </w:rPr>
              <w:t>diet</w:t>
            </w:r>
            <w:r w:rsidRPr="007C3202">
              <w:rPr>
                <w:sz w:val="20"/>
                <w:szCs w:val="20"/>
                <w:highlight w:val="yellow"/>
                <w:lang w:val="en-GB"/>
              </w:rPr>
              <w:t xml:space="preserve"> not affordable</w:t>
            </w:r>
          </w:p>
          <w:p w14:paraId="06C0A55B" w14:textId="77777777" w:rsidR="00034937" w:rsidRPr="007C3202" w:rsidRDefault="00034937" w:rsidP="00034937">
            <w:pPr>
              <w:numPr>
                <w:ilvl w:val="0"/>
                <w:numId w:val="35"/>
              </w:numPr>
              <w:spacing w:after="0" w:line="252" w:lineRule="auto"/>
              <w:jc w:val="both"/>
              <w:rPr>
                <w:sz w:val="20"/>
                <w:szCs w:val="20"/>
                <w:lang w:val="en-GB"/>
              </w:rPr>
            </w:pPr>
            <w:r w:rsidRPr="007C3202">
              <w:rPr>
                <w:sz w:val="20"/>
                <w:szCs w:val="20"/>
                <w:highlight w:val="yellow"/>
                <w:lang w:val="en-GB"/>
              </w:rPr>
              <w:t>Transportation to markets not affordable</w:t>
            </w:r>
          </w:p>
          <w:p w14:paraId="279442F7" w14:textId="77777777" w:rsidR="00034937" w:rsidRPr="007C3202" w:rsidRDefault="00034937" w:rsidP="00034937">
            <w:pPr>
              <w:numPr>
                <w:ilvl w:val="0"/>
                <w:numId w:val="35"/>
              </w:numPr>
              <w:spacing w:after="0" w:line="252" w:lineRule="auto"/>
              <w:jc w:val="both"/>
              <w:rPr>
                <w:sz w:val="20"/>
                <w:szCs w:val="20"/>
                <w:lang w:val="en-GB"/>
              </w:rPr>
            </w:pPr>
            <w:r w:rsidRPr="007C3202">
              <w:rPr>
                <w:sz w:val="20"/>
                <w:szCs w:val="20"/>
                <w:lang w:val="en-GB"/>
              </w:rPr>
              <w:t>Markets not accessible due to distance, safety concerns, social and cultural factors, etc.</w:t>
            </w:r>
          </w:p>
          <w:p w14:paraId="7DD9CC54" w14:textId="77777777" w:rsidR="00034937" w:rsidRPr="007C3202" w:rsidRDefault="00034937" w:rsidP="00034937">
            <w:pPr>
              <w:numPr>
                <w:ilvl w:val="0"/>
                <w:numId w:val="35"/>
              </w:numPr>
              <w:spacing w:after="0" w:line="252" w:lineRule="auto"/>
              <w:jc w:val="both"/>
              <w:rPr>
                <w:sz w:val="20"/>
                <w:szCs w:val="20"/>
                <w:highlight w:val="yellow"/>
                <w:lang w:val="en-GB"/>
              </w:rPr>
            </w:pPr>
            <w:r w:rsidRPr="007C3202">
              <w:rPr>
                <w:sz w:val="20"/>
                <w:szCs w:val="20"/>
                <w:highlight w:val="yellow"/>
                <w:lang w:val="en-GB"/>
              </w:rPr>
              <w:t>Cooking utensils and cooking fuel not affordable</w:t>
            </w:r>
          </w:p>
          <w:p w14:paraId="2780A11D" w14:textId="77777777" w:rsidR="00034937" w:rsidRPr="007C3202" w:rsidRDefault="00034937" w:rsidP="00034937">
            <w:pPr>
              <w:numPr>
                <w:ilvl w:val="0"/>
                <w:numId w:val="35"/>
              </w:numPr>
              <w:spacing w:after="0" w:line="252" w:lineRule="auto"/>
              <w:jc w:val="both"/>
              <w:rPr>
                <w:sz w:val="20"/>
                <w:szCs w:val="20"/>
                <w:lang w:val="en-GB"/>
              </w:rPr>
            </w:pPr>
            <w:r w:rsidRPr="007C3202">
              <w:rPr>
                <w:sz w:val="20"/>
                <w:szCs w:val="20"/>
                <w:lang w:val="en-GB"/>
              </w:rPr>
              <w:t>Inadequate storage and preparation of food at household level</w:t>
            </w:r>
          </w:p>
          <w:p w14:paraId="0CB18CE9" w14:textId="77777777" w:rsidR="00034937" w:rsidRPr="007C3202" w:rsidRDefault="00034937" w:rsidP="00034937">
            <w:pPr>
              <w:numPr>
                <w:ilvl w:val="0"/>
                <w:numId w:val="35"/>
              </w:numPr>
              <w:spacing w:after="0" w:line="252" w:lineRule="auto"/>
              <w:jc w:val="both"/>
              <w:rPr>
                <w:sz w:val="20"/>
                <w:szCs w:val="20"/>
                <w:lang w:val="en-GB"/>
              </w:rPr>
            </w:pPr>
            <w:r w:rsidRPr="007C3202">
              <w:rPr>
                <w:sz w:val="20"/>
                <w:szCs w:val="20"/>
                <w:lang w:val="en-GB"/>
              </w:rPr>
              <w:t>Household income not used to purchase nutritious foods</w:t>
            </w:r>
          </w:p>
          <w:p w14:paraId="1277830A" w14:textId="77777777" w:rsidR="00034937" w:rsidRPr="007C3202" w:rsidRDefault="00034937" w:rsidP="00034937">
            <w:pPr>
              <w:numPr>
                <w:ilvl w:val="0"/>
                <w:numId w:val="35"/>
              </w:numPr>
              <w:spacing w:after="0" w:line="252" w:lineRule="auto"/>
              <w:jc w:val="both"/>
              <w:rPr>
                <w:sz w:val="20"/>
                <w:szCs w:val="20"/>
                <w:lang w:val="en-GB"/>
              </w:rPr>
            </w:pPr>
            <w:r w:rsidRPr="007C3202">
              <w:rPr>
                <w:sz w:val="20"/>
                <w:szCs w:val="20"/>
                <w:lang w:val="en-GB"/>
              </w:rPr>
              <w:t>Inadequate sharing of food within households (not child or women centred)</w:t>
            </w:r>
          </w:p>
        </w:tc>
        <w:tc>
          <w:tcPr>
            <w:tcW w:w="360" w:type="dxa"/>
            <w:shd w:val="clear" w:color="auto" w:fill="E2EFD9" w:themeFill="accent6" w:themeFillTint="33"/>
            <w:tcMar>
              <w:top w:w="15" w:type="dxa"/>
              <w:left w:w="60" w:type="dxa"/>
              <w:bottom w:w="0" w:type="dxa"/>
              <w:right w:w="60" w:type="dxa"/>
            </w:tcMar>
            <w:vAlign w:val="center"/>
          </w:tcPr>
          <w:p w14:paraId="0DEAD98C" w14:textId="77777777" w:rsidR="00034937" w:rsidRPr="007C3202" w:rsidRDefault="00034937" w:rsidP="009D61C9">
            <w:pPr>
              <w:spacing w:after="0"/>
              <w:jc w:val="center"/>
              <w:rPr>
                <w:sz w:val="20"/>
                <w:szCs w:val="20"/>
                <w:lang w:val="en-GB"/>
              </w:rPr>
            </w:pPr>
          </w:p>
        </w:tc>
        <w:tc>
          <w:tcPr>
            <w:tcW w:w="3785" w:type="dxa"/>
            <w:shd w:val="clear" w:color="auto" w:fill="E2EFD9" w:themeFill="accent6" w:themeFillTint="33"/>
          </w:tcPr>
          <w:p w14:paraId="05A88B35" w14:textId="77777777" w:rsidR="00034937" w:rsidRPr="007C3202" w:rsidRDefault="00034937" w:rsidP="00034937">
            <w:pPr>
              <w:numPr>
                <w:ilvl w:val="0"/>
                <w:numId w:val="36"/>
              </w:numPr>
              <w:tabs>
                <w:tab w:val="clear" w:pos="360"/>
                <w:tab w:val="num" w:pos="720"/>
              </w:tabs>
              <w:spacing w:after="0" w:line="252" w:lineRule="auto"/>
              <w:jc w:val="both"/>
              <w:rPr>
                <w:sz w:val="20"/>
                <w:szCs w:val="20"/>
                <w:lang w:val="en-GB"/>
              </w:rPr>
            </w:pPr>
            <w:r w:rsidRPr="007C3202">
              <w:rPr>
                <w:sz w:val="20"/>
                <w:szCs w:val="20"/>
                <w:lang w:val="en-GB"/>
              </w:rPr>
              <w:t>Insufficient availability and/or quality of productive inputs</w:t>
            </w:r>
          </w:p>
          <w:p w14:paraId="2DF11E56" w14:textId="77777777" w:rsidR="00034937" w:rsidRPr="007C3202" w:rsidRDefault="00034937" w:rsidP="00034937">
            <w:pPr>
              <w:pStyle w:val="ListParagraph"/>
              <w:numPr>
                <w:ilvl w:val="0"/>
                <w:numId w:val="36"/>
              </w:numPr>
              <w:spacing w:after="0" w:line="252" w:lineRule="auto"/>
              <w:contextualSpacing w:val="0"/>
              <w:jc w:val="both"/>
              <w:rPr>
                <w:sz w:val="20"/>
                <w:szCs w:val="20"/>
                <w:lang w:val="en-GB"/>
              </w:rPr>
            </w:pPr>
            <w:r w:rsidRPr="007C3202">
              <w:rPr>
                <w:sz w:val="20"/>
                <w:szCs w:val="20"/>
                <w:lang w:val="en-GB"/>
              </w:rPr>
              <w:t>Insufficient food production and/or importation</w:t>
            </w:r>
          </w:p>
          <w:p w14:paraId="162597EB" w14:textId="77777777" w:rsidR="00034937" w:rsidRPr="007C3202" w:rsidRDefault="00034937" w:rsidP="00034937">
            <w:pPr>
              <w:numPr>
                <w:ilvl w:val="0"/>
                <w:numId w:val="36"/>
              </w:numPr>
              <w:tabs>
                <w:tab w:val="clear" w:pos="360"/>
                <w:tab w:val="num" w:pos="720"/>
              </w:tabs>
              <w:spacing w:after="0" w:line="252" w:lineRule="auto"/>
              <w:jc w:val="both"/>
              <w:rPr>
                <w:sz w:val="20"/>
                <w:szCs w:val="20"/>
                <w:lang w:val="en-GB"/>
              </w:rPr>
            </w:pPr>
            <w:r w:rsidRPr="007C3202">
              <w:rPr>
                <w:sz w:val="20"/>
                <w:szCs w:val="20"/>
                <w:lang w:val="en-GB"/>
              </w:rPr>
              <w:t>Insufficient availability and/or quality of nutritious food in local markets</w:t>
            </w:r>
          </w:p>
          <w:p w14:paraId="3B41E192" w14:textId="77777777" w:rsidR="00034937" w:rsidRPr="007C3202" w:rsidRDefault="00034937" w:rsidP="00034937">
            <w:pPr>
              <w:numPr>
                <w:ilvl w:val="0"/>
                <w:numId w:val="36"/>
              </w:numPr>
              <w:tabs>
                <w:tab w:val="clear" w:pos="360"/>
                <w:tab w:val="num" w:pos="720"/>
              </w:tabs>
              <w:spacing w:after="0" w:line="252" w:lineRule="auto"/>
              <w:jc w:val="both"/>
              <w:rPr>
                <w:sz w:val="20"/>
                <w:szCs w:val="20"/>
                <w:lang w:val="en-GB"/>
              </w:rPr>
            </w:pPr>
            <w:r w:rsidRPr="007C3202">
              <w:rPr>
                <w:sz w:val="20"/>
                <w:szCs w:val="20"/>
                <w:lang w:val="en-GB"/>
              </w:rPr>
              <w:t xml:space="preserve">Inadequate handling and storage of foods (especially fresh foods) along the supply chain </w:t>
            </w:r>
          </w:p>
          <w:p w14:paraId="697777A7" w14:textId="77777777" w:rsidR="00034937" w:rsidRPr="007C3202" w:rsidRDefault="00034937" w:rsidP="00034937">
            <w:pPr>
              <w:numPr>
                <w:ilvl w:val="0"/>
                <w:numId w:val="36"/>
              </w:numPr>
              <w:tabs>
                <w:tab w:val="clear" w:pos="360"/>
                <w:tab w:val="num" w:pos="720"/>
              </w:tabs>
              <w:spacing w:after="0" w:line="252" w:lineRule="auto"/>
              <w:jc w:val="both"/>
              <w:rPr>
                <w:sz w:val="20"/>
                <w:szCs w:val="20"/>
                <w:lang w:val="en-GB"/>
              </w:rPr>
            </w:pPr>
            <w:r w:rsidRPr="007C3202">
              <w:rPr>
                <w:sz w:val="20"/>
                <w:szCs w:val="20"/>
                <w:lang w:val="en-GB"/>
              </w:rPr>
              <w:t>Insufficient availability of cooking utensils and fuel in local markets</w:t>
            </w:r>
          </w:p>
        </w:tc>
      </w:tr>
      <w:tr w:rsidR="00034937" w:rsidRPr="007C3202" w14:paraId="0BB86A64" w14:textId="77777777" w:rsidTr="009D61C9">
        <w:trPr>
          <w:trHeight w:val="173"/>
        </w:trPr>
        <w:tc>
          <w:tcPr>
            <w:tcW w:w="9900" w:type="dxa"/>
            <w:gridSpan w:val="3"/>
            <w:shd w:val="clear" w:color="auto" w:fill="FFE599" w:themeFill="accent4" w:themeFillTint="66"/>
            <w:tcMar>
              <w:top w:w="15" w:type="dxa"/>
              <w:left w:w="60" w:type="dxa"/>
              <w:bottom w:w="0" w:type="dxa"/>
              <w:right w:w="60" w:type="dxa"/>
            </w:tcMar>
          </w:tcPr>
          <w:p w14:paraId="632E8BDC" w14:textId="77777777" w:rsidR="00034937" w:rsidRPr="007C3202" w:rsidRDefault="00034937" w:rsidP="009D61C9">
            <w:pPr>
              <w:spacing w:after="0"/>
              <w:jc w:val="center"/>
              <w:rPr>
                <w:sz w:val="20"/>
                <w:szCs w:val="20"/>
                <w:lang w:val="en-GB"/>
              </w:rPr>
            </w:pPr>
            <w:r w:rsidRPr="007C3202">
              <w:rPr>
                <w:b/>
                <w:bCs/>
                <w:sz w:val="20"/>
                <w:szCs w:val="20"/>
                <w:lang w:val="en-GB"/>
              </w:rPr>
              <w:t>Underlying determinant: adequate feeding and care</w:t>
            </w:r>
          </w:p>
        </w:tc>
      </w:tr>
      <w:tr w:rsidR="00034937" w:rsidRPr="007C3202" w14:paraId="1E656D9E" w14:textId="77777777" w:rsidTr="009D61C9">
        <w:trPr>
          <w:trHeight w:val="2614"/>
        </w:trPr>
        <w:tc>
          <w:tcPr>
            <w:tcW w:w="5755" w:type="dxa"/>
            <w:shd w:val="clear" w:color="auto" w:fill="FFF2CC" w:themeFill="accent4" w:themeFillTint="33"/>
            <w:tcMar>
              <w:top w:w="15" w:type="dxa"/>
              <w:left w:w="60" w:type="dxa"/>
              <w:bottom w:w="0" w:type="dxa"/>
              <w:right w:w="60" w:type="dxa"/>
            </w:tcMar>
            <w:hideMark/>
          </w:tcPr>
          <w:p w14:paraId="3CD62E48" w14:textId="77777777" w:rsidR="00034937" w:rsidRPr="007C3202" w:rsidRDefault="00034937" w:rsidP="00034937">
            <w:pPr>
              <w:numPr>
                <w:ilvl w:val="0"/>
                <w:numId w:val="37"/>
              </w:numPr>
              <w:tabs>
                <w:tab w:val="clear" w:pos="360"/>
                <w:tab w:val="num" w:pos="720"/>
              </w:tabs>
              <w:spacing w:after="0" w:line="252" w:lineRule="auto"/>
              <w:jc w:val="both"/>
              <w:rPr>
                <w:sz w:val="20"/>
                <w:szCs w:val="20"/>
                <w:lang w:val="en-GB"/>
              </w:rPr>
            </w:pPr>
            <w:r w:rsidRPr="007C3202">
              <w:rPr>
                <w:sz w:val="20"/>
                <w:szCs w:val="20"/>
                <w:highlight w:val="yellow"/>
                <w:lang w:val="en-GB"/>
              </w:rPr>
              <w:t xml:space="preserve">preparation of adequate complementary food for children 6-24 months not affordable </w:t>
            </w:r>
            <w:r w:rsidRPr="007C3202">
              <w:rPr>
                <w:sz w:val="20"/>
                <w:szCs w:val="20"/>
                <w:lang w:val="en-GB"/>
              </w:rPr>
              <w:t xml:space="preserve"> </w:t>
            </w:r>
          </w:p>
          <w:p w14:paraId="7FBA6395" w14:textId="77777777" w:rsidR="00034937" w:rsidRPr="007C3202" w:rsidRDefault="00034937" w:rsidP="00034937">
            <w:pPr>
              <w:numPr>
                <w:ilvl w:val="0"/>
                <w:numId w:val="37"/>
              </w:numPr>
              <w:tabs>
                <w:tab w:val="clear" w:pos="360"/>
                <w:tab w:val="num" w:pos="720"/>
              </w:tabs>
              <w:spacing w:after="0" w:line="252" w:lineRule="auto"/>
              <w:jc w:val="both"/>
              <w:rPr>
                <w:sz w:val="20"/>
                <w:szCs w:val="20"/>
                <w:lang w:val="en-GB"/>
              </w:rPr>
            </w:pPr>
            <w:r w:rsidRPr="007C3202">
              <w:rPr>
                <w:sz w:val="20"/>
                <w:szCs w:val="20"/>
                <w:lang w:val="en-GB"/>
              </w:rPr>
              <w:t xml:space="preserve">Inadequate knowledge and skills on how to prepare nutritious complementary food </w:t>
            </w:r>
          </w:p>
          <w:p w14:paraId="2C8B4CC2" w14:textId="77777777" w:rsidR="00034937" w:rsidRPr="007C3202" w:rsidRDefault="00034937" w:rsidP="00034937">
            <w:pPr>
              <w:numPr>
                <w:ilvl w:val="0"/>
                <w:numId w:val="37"/>
              </w:numPr>
              <w:tabs>
                <w:tab w:val="clear" w:pos="360"/>
                <w:tab w:val="num" w:pos="720"/>
              </w:tabs>
              <w:spacing w:after="0" w:line="252" w:lineRule="auto"/>
              <w:jc w:val="both"/>
              <w:rPr>
                <w:sz w:val="20"/>
                <w:szCs w:val="20"/>
                <w:lang w:val="en-GB"/>
              </w:rPr>
            </w:pPr>
            <w:r w:rsidRPr="007C3202">
              <w:rPr>
                <w:sz w:val="20"/>
                <w:szCs w:val="20"/>
                <w:highlight w:val="yellow"/>
                <w:lang w:val="en-GB"/>
              </w:rPr>
              <w:t>Lack of caregivers’ time for optimal feeding and care due to economic pressure (e.g. work)</w:t>
            </w:r>
          </w:p>
          <w:p w14:paraId="770C6B3E" w14:textId="77777777" w:rsidR="00034937" w:rsidRPr="007C3202" w:rsidRDefault="00034937" w:rsidP="00034937">
            <w:pPr>
              <w:numPr>
                <w:ilvl w:val="0"/>
                <w:numId w:val="37"/>
              </w:numPr>
              <w:tabs>
                <w:tab w:val="clear" w:pos="360"/>
                <w:tab w:val="num" w:pos="720"/>
              </w:tabs>
              <w:spacing w:after="0" w:line="252" w:lineRule="auto"/>
              <w:jc w:val="both"/>
              <w:rPr>
                <w:sz w:val="20"/>
                <w:szCs w:val="20"/>
                <w:lang w:val="en-GB"/>
              </w:rPr>
            </w:pPr>
            <w:r w:rsidRPr="007C3202">
              <w:rPr>
                <w:sz w:val="20"/>
                <w:szCs w:val="20"/>
                <w:lang w:val="en-GB"/>
              </w:rPr>
              <w:t xml:space="preserve">inadequate caring practice due to lack of knowledge and skills </w:t>
            </w:r>
          </w:p>
          <w:p w14:paraId="327B0F47" w14:textId="77777777" w:rsidR="00034937" w:rsidRPr="007C3202" w:rsidRDefault="00034937" w:rsidP="00034937">
            <w:pPr>
              <w:numPr>
                <w:ilvl w:val="0"/>
                <w:numId w:val="37"/>
              </w:numPr>
              <w:tabs>
                <w:tab w:val="clear" w:pos="360"/>
                <w:tab w:val="num" w:pos="720"/>
              </w:tabs>
              <w:spacing w:after="0" w:line="252" w:lineRule="auto"/>
              <w:jc w:val="both"/>
              <w:rPr>
                <w:sz w:val="20"/>
                <w:szCs w:val="20"/>
                <w:lang w:val="en-GB"/>
              </w:rPr>
            </w:pPr>
            <w:r w:rsidRPr="007C3202">
              <w:rPr>
                <w:sz w:val="20"/>
                <w:szCs w:val="20"/>
                <w:lang w:val="en-GB"/>
              </w:rPr>
              <w:t>Traditional beliefs, practices and perceptions that negatively impact adequate feeding and care of infants, young children and women</w:t>
            </w:r>
          </w:p>
          <w:p w14:paraId="3605E40C" w14:textId="77777777" w:rsidR="00034937" w:rsidRPr="007C3202" w:rsidRDefault="00034937" w:rsidP="00034937">
            <w:pPr>
              <w:numPr>
                <w:ilvl w:val="0"/>
                <w:numId w:val="37"/>
              </w:numPr>
              <w:tabs>
                <w:tab w:val="clear" w:pos="360"/>
                <w:tab w:val="num" w:pos="720"/>
              </w:tabs>
              <w:spacing w:after="0" w:line="252" w:lineRule="auto"/>
              <w:jc w:val="both"/>
              <w:rPr>
                <w:sz w:val="20"/>
                <w:szCs w:val="20"/>
                <w:lang w:val="en-GB"/>
              </w:rPr>
            </w:pPr>
            <w:r w:rsidRPr="007C3202">
              <w:rPr>
                <w:sz w:val="20"/>
                <w:szCs w:val="20"/>
                <w:lang w:val="en-GB"/>
              </w:rPr>
              <w:t>Lack of caregivers’ control over resources contributing to spending decisions that are not child or women centred</w:t>
            </w:r>
          </w:p>
          <w:p w14:paraId="1B0A5E41" w14:textId="77777777" w:rsidR="00034937" w:rsidRPr="007C3202" w:rsidRDefault="00034937" w:rsidP="00034937">
            <w:pPr>
              <w:numPr>
                <w:ilvl w:val="0"/>
                <w:numId w:val="37"/>
              </w:numPr>
              <w:tabs>
                <w:tab w:val="clear" w:pos="360"/>
                <w:tab w:val="num" w:pos="720"/>
              </w:tabs>
              <w:spacing w:after="0" w:line="252" w:lineRule="auto"/>
              <w:jc w:val="both"/>
              <w:rPr>
                <w:sz w:val="20"/>
                <w:szCs w:val="20"/>
                <w:lang w:val="en-GB"/>
              </w:rPr>
            </w:pPr>
            <w:r w:rsidRPr="007C3202">
              <w:rPr>
                <w:sz w:val="20"/>
                <w:szCs w:val="20"/>
                <w:lang w:val="en-GB"/>
              </w:rPr>
              <w:t>Inadequate physical and mental well-being of caregivers</w:t>
            </w:r>
          </w:p>
        </w:tc>
        <w:tc>
          <w:tcPr>
            <w:tcW w:w="360" w:type="dxa"/>
            <w:shd w:val="clear" w:color="auto" w:fill="FFF2CC" w:themeFill="accent4" w:themeFillTint="33"/>
            <w:tcMar>
              <w:top w:w="15" w:type="dxa"/>
              <w:left w:w="60" w:type="dxa"/>
              <w:bottom w:w="0" w:type="dxa"/>
              <w:right w:w="60" w:type="dxa"/>
            </w:tcMar>
            <w:vAlign w:val="center"/>
          </w:tcPr>
          <w:p w14:paraId="77CE986F" w14:textId="77777777" w:rsidR="00034937" w:rsidRPr="007C3202" w:rsidRDefault="00034937" w:rsidP="009D61C9">
            <w:pPr>
              <w:spacing w:after="0"/>
              <w:jc w:val="center"/>
              <w:rPr>
                <w:sz w:val="20"/>
                <w:szCs w:val="20"/>
                <w:lang w:val="en-GB"/>
              </w:rPr>
            </w:pPr>
          </w:p>
        </w:tc>
        <w:tc>
          <w:tcPr>
            <w:tcW w:w="3785" w:type="dxa"/>
            <w:shd w:val="clear" w:color="auto" w:fill="FFF2CC" w:themeFill="accent4" w:themeFillTint="33"/>
          </w:tcPr>
          <w:p w14:paraId="4BBADCB3" w14:textId="77777777" w:rsidR="00034937" w:rsidRPr="007C3202" w:rsidRDefault="00034937" w:rsidP="00034937">
            <w:pPr>
              <w:numPr>
                <w:ilvl w:val="0"/>
                <w:numId w:val="38"/>
              </w:numPr>
              <w:tabs>
                <w:tab w:val="clear" w:pos="360"/>
                <w:tab w:val="num" w:pos="720"/>
              </w:tabs>
              <w:spacing w:after="0" w:line="252" w:lineRule="auto"/>
              <w:jc w:val="both"/>
              <w:rPr>
                <w:sz w:val="20"/>
                <w:szCs w:val="20"/>
                <w:lang w:val="en-GB"/>
              </w:rPr>
            </w:pPr>
            <w:r>
              <w:rPr>
                <w:sz w:val="20"/>
                <w:szCs w:val="20"/>
                <w:lang w:val="en-GB"/>
              </w:rPr>
              <w:t>Infant and young child feeding (</w:t>
            </w:r>
            <w:r w:rsidRPr="007C3202">
              <w:rPr>
                <w:sz w:val="20"/>
                <w:szCs w:val="20"/>
                <w:lang w:val="en-GB"/>
              </w:rPr>
              <w:t>IYCF</w:t>
            </w:r>
            <w:r>
              <w:rPr>
                <w:sz w:val="20"/>
                <w:szCs w:val="20"/>
                <w:lang w:val="en-GB"/>
              </w:rPr>
              <w:t>)</w:t>
            </w:r>
            <w:r w:rsidRPr="007C3202">
              <w:rPr>
                <w:sz w:val="20"/>
                <w:szCs w:val="20"/>
                <w:lang w:val="en-GB"/>
              </w:rPr>
              <w:t xml:space="preserve"> policies at central and local level not adequate</w:t>
            </w:r>
          </w:p>
          <w:p w14:paraId="5AB19AF7" w14:textId="77777777" w:rsidR="00034937" w:rsidRPr="007C3202" w:rsidRDefault="00034937" w:rsidP="00034937">
            <w:pPr>
              <w:numPr>
                <w:ilvl w:val="0"/>
                <w:numId w:val="38"/>
              </w:numPr>
              <w:tabs>
                <w:tab w:val="clear" w:pos="360"/>
                <w:tab w:val="num" w:pos="720"/>
              </w:tabs>
              <w:spacing w:after="0" w:line="252" w:lineRule="auto"/>
              <w:jc w:val="both"/>
              <w:rPr>
                <w:sz w:val="20"/>
                <w:szCs w:val="20"/>
                <w:lang w:val="en-GB"/>
              </w:rPr>
            </w:pPr>
            <w:r w:rsidRPr="007C3202">
              <w:rPr>
                <w:sz w:val="20"/>
                <w:szCs w:val="20"/>
                <w:lang w:val="en-GB"/>
              </w:rPr>
              <w:t>IYCF services and support for adequate care (e.g. health services, IYCF counselling services, women support groups) are not available or not functional</w:t>
            </w:r>
          </w:p>
          <w:p w14:paraId="6A92CAB2" w14:textId="77777777" w:rsidR="00034937" w:rsidRPr="007C3202" w:rsidRDefault="00034937" w:rsidP="00034937">
            <w:pPr>
              <w:numPr>
                <w:ilvl w:val="0"/>
                <w:numId w:val="38"/>
              </w:numPr>
              <w:tabs>
                <w:tab w:val="clear" w:pos="360"/>
                <w:tab w:val="num" w:pos="720"/>
              </w:tabs>
              <w:spacing w:after="0" w:line="252" w:lineRule="auto"/>
              <w:jc w:val="both"/>
              <w:rPr>
                <w:sz w:val="20"/>
                <w:szCs w:val="20"/>
                <w:lang w:val="en-GB"/>
              </w:rPr>
            </w:pPr>
            <w:r w:rsidRPr="007C3202">
              <w:rPr>
                <w:sz w:val="20"/>
                <w:szCs w:val="20"/>
                <w:lang w:val="en-GB"/>
              </w:rPr>
              <w:t>Insufficient availability of nutrition dense complementary foods</w:t>
            </w:r>
          </w:p>
          <w:p w14:paraId="1C770E1F" w14:textId="77777777" w:rsidR="00034937" w:rsidRPr="007C3202" w:rsidRDefault="00034937" w:rsidP="00034937">
            <w:pPr>
              <w:numPr>
                <w:ilvl w:val="0"/>
                <w:numId w:val="37"/>
              </w:numPr>
              <w:tabs>
                <w:tab w:val="clear" w:pos="360"/>
                <w:tab w:val="num" w:pos="720"/>
              </w:tabs>
              <w:spacing w:after="0" w:line="252" w:lineRule="auto"/>
              <w:jc w:val="both"/>
              <w:rPr>
                <w:sz w:val="20"/>
                <w:szCs w:val="20"/>
                <w:lang w:val="en-GB"/>
              </w:rPr>
            </w:pPr>
            <w:r w:rsidRPr="007C3202">
              <w:rPr>
                <w:sz w:val="20"/>
                <w:szCs w:val="20"/>
                <w:lang w:val="en-GB"/>
              </w:rPr>
              <w:t>Inadequate social protection policies (e.g.  paid parental leave; support of breast-feeing in the workplace or in society)</w:t>
            </w:r>
            <w:r w:rsidRPr="007C3202">
              <w:rPr>
                <w:sz w:val="20"/>
                <w:szCs w:val="20"/>
                <w:highlight w:val="yellow"/>
                <w:lang w:val="en-GB"/>
              </w:rPr>
              <w:t xml:space="preserve"> </w:t>
            </w:r>
          </w:p>
        </w:tc>
      </w:tr>
      <w:tr w:rsidR="00034937" w:rsidRPr="007C3202" w14:paraId="701CD3E8" w14:textId="77777777" w:rsidTr="009D61C9">
        <w:trPr>
          <w:trHeight w:val="45"/>
        </w:trPr>
        <w:tc>
          <w:tcPr>
            <w:tcW w:w="9900" w:type="dxa"/>
            <w:gridSpan w:val="3"/>
            <w:shd w:val="clear" w:color="auto" w:fill="BDD6EE" w:themeFill="accent5" w:themeFillTint="66"/>
            <w:tcMar>
              <w:top w:w="15" w:type="dxa"/>
              <w:left w:w="60" w:type="dxa"/>
              <w:bottom w:w="0" w:type="dxa"/>
              <w:right w:w="60" w:type="dxa"/>
            </w:tcMar>
          </w:tcPr>
          <w:p w14:paraId="342AFC46" w14:textId="77777777" w:rsidR="00034937" w:rsidRPr="007C3202" w:rsidRDefault="00034937" w:rsidP="009D61C9">
            <w:pPr>
              <w:spacing w:after="0"/>
              <w:jc w:val="center"/>
              <w:rPr>
                <w:sz w:val="20"/>
                <w:szCs w:val="20"/>
                <w:lang w:val="en-GB"/>
              </w:rPr>
            </w:pPr>
            <w:r w:rsidRPr="007C3202">
              <w:rPr>
                <w:b/>
                <w:bCs/>
                <w:sz w:val="20"/>
                <w:szCs w:val="20"/>
                <w:lang w:val="en-GB"/>
              </w:rPr>
              <w:t>Underlying determinants: healthy environment</w:t>
            </w:r>
          </w:p>
        </w:tc>
      </w:tr>
      <w:tr w:rsidR="00034937" w:rsidRPr="007C3202" w14:paraId="2BE435BE" w14:textId="77777777" w:rsidTr="009D61C9">
        <w:trPr>
          <w:trHeight w:val="45"/>
        </w:trPr>
        <w:tc>
          <w:tcPr>
            <w:tcW w:w="5755" w:type="dxa"/>
            <w:shd w:val="clear" w:color="auto" w:fill="DEEAF6" w:themeFill="accent5" w:themeFillTint="33"/>
            <w:tcMar>
              <w:top w:w="15" w:type="dxa"/>
              <w:left w:w="60" w:type="dxa"/>
              <w:bottom w:w="0" w:type="dxa"/>
              <w:right w:w="60" w:type="dxa"/>
            </w:tcMar>
            <w:hideMark/>
          </w:tcPr>
          <w:p w14:paraId="1CFA5A41" w14:textId="77777777" w:rsidR="00034937" w:rsidRPr="007C3202" w:rsidRDefault="00034937" w:rsidP="00034937">
            <w:pPr>
              <w:pStyle w:val="ListParagraph"/>
              <w:numPr>
                <w:ilvl w:val="0"/>
                <w:numId w:val="40"/>
              </w:numPr>
              <w:spacing w:after="0" w:line="252" w:lineRule="auto"/>
              <w:contextualSpacing w:val="0"/>
              <w:jc w:val="both"/>
              <w:rPr>
                <w:sz w:val="20"/>
                <w:szCs w:val="20"/>
                <w:highlight w:val="yellow"/>
                <w:lang w:val="en-GB"/>
              </w:rPr>
            </w:pPr>
            <w:r w:rsidRPr="007C3202">
              <w:rPr>
                <w:sz w:val="20"/>
                <w:szCs w:val="20"/>
                <w:highlight w:val="yellow"/>
                <w:lang w:val="en-GB"/>
              </w:rPr>
              <w:t xml:space="preserve">Accessing and using health services is not affordable due to direct costs (e.g. consultation fees, diagnostic tests and/or medicines) and indirect costs (e.g. transport or accommodation costs) </w:t>
            </w:r>
          </w:p>
          <w:p w14:paraId="4B65238A" w14:textId="77777777" w:rsidR="00034937" w:rsidRPr="007C3202" w:rsidRDefault="00034937" w:rsidP="00034937">
            <w:pPr>
              <w:pStyle w:val="ListParagraph"/>
              <w:numPr>
                <w:ilvl w:val="0"/>
                <w:numId w:val="40"/>
              </w:numPr>
              <w:spacing w:after="0" w:line="252" w:lineRule="auto"/>
              <w:contextualSpacing w:val="0"/>
              <w:jc w:val="both"/>
              <w:rPr>
                <w:sz w:val="20"/>
                <w:szCs w:val="20"/>
                <w:lang w:val="en-GB"/>
              </w:rPr>
            </w:pPr>
            <w:r w:rsidRPr="007C3202">
              <w:rPr>
                <w:sz w:val="20"/>
                <w:szCs w:val="20"/>
                <w:lang w:val="en-GB"/>
              </w:rPr>
              <w:t>Health services not accessible due to distance, safety concerns, acceptability by community, social and cultural factors, etc.</w:t>
            </w:r>
          </w:p>
          <w:p w14:paraId="02113A41" w14:textId="77777777" w:rsidR="00034937" w:rsidRPr="007C3202" w:rsidRDefault="00034937" w:rsidP="00034937">
            <w:pPr>
              <w:pStyle w:val="ListParagraph"/>
              <w:numPr>
                <w:ilvl w:val="0"/>
                <w:numId w:val="40"/>
              </w:numPr>
              <w:spacing w:after="0" w:line="252" w:lineRule="auto"/>
              <w:contextualSpacing w:val="0"/>
              <w:jc w:val="both"/>
              <w:rPr>
                <w:sz w:val="20"/>
                <w:szCs w:val="20"/>
                <w:lang w:val="en-GB"/>
              </w:rPr>
            </w:pPr>
            <w:r w:rsidRPr="007C3202">
              <w:rPr>
                <w:sz w:val="20"/>
                <w:szCs w:val="20"/>
                <w:highlight w:val="yellow"/>
                <w:lang w:val="en-GB"/>
              </w:rPr>
              <w:t>Opportunity costs of seeking health and nutrition services are considered too high</w:t>
            </w:r>
          </w:p>
          <w:p w14:paraId="69F49046" w14:textId="77777777" w:rsidR="00034937" w:rsidRPr="007C3202" w:rsidRDefault="00034937" w:rsidP="00034937">
            <w:pPr>
              <w:pStyle w:val="ListParagraph"/>
              <w:numPr>
                <w:ilvl w:val="0"/>
                <w:numId w:val="40"/>
              </w:numPr>
              <w:spacing w:after="0" w:line="252" w:lineRule="auto"/>
              <w:contextualSpacing w:val="0"/>
              <w:jc w:val="both"/>
              <w:rPr>
                <w:sz w:val="20"/>
                <w:szCs w:val="20"/>
                <w:lang w:val="en-GB"/>
              </w:rPr>
            </w:pPr>
            <w:r w:rsidRPr="007C3202">
              <w:rPr>
                <w:sz w:val="20"/>
                <w:szCs w:val="20"/>
                <w:lang w:val="en-GB"/>
              </w:rPr>
              <w:t>Lack of knowledge on existing (preventative) health services</w:t>
            </w:r>
          </w:p>
          <w:p w14:paraId="664FC444" w14:textId="77777777" w:rsidR="00034937" w:rsidRPr="007C3202" w:rsidRDefault="00034937" w:rsidP="00034937">
            <w:pPr>
              <w:pStyle w:val="ListParagraph"/>
              <w:numPr>
                <w:ilvl w:val="0"/>
                <w:numId w:val="40"/>
              </w:numPr>
              <w:spacing w:after="0" w:line="252" w:lineRule="auto"/>
              <w:contextualSpacing w:val="0"/>
              <w:jc w:val="both"/>
              <w:rPr>
                <w:sz w:val="20"/>
                <w:szCs w:val="20"/>
                <w:lang w:val="en-GB"/>
              </w:rPr>
            </w:pPr>
            <w:r w:rsidRPr="007C3202">
              <w:rPr>
                <w:sz w:val="20"/>
                <w:szCs w:val="20"/>
                <w:lang w:val="en-GB"/>
              </w:rPr>
              <w:t xml:space="preserve">Inadequate health seeking behaviour </w:t>
            </w:r>
            <w:r>
              <w:rPr>
                <w:sz w:val="20"/>
                <w:szCs w:val="20"/>
                <w:lang w:val="en-GB"/>
              </w:rPr>
              <w:t xml:space="preserve">due to </w:t>
            </w:r>
            <w:r w:rsidRPr="007C3202">
              <w:rPr>
                <w:sz w:val="20"/>
                <w:szCs w:val="20"/>
                <w:lang w:val="en-GB"/>
              </w:rPr>
              <w:t>lack of knowledge of malnutrition and other disease, traditional beliefs</w:t>
            </w:r>
            <w:r>
              <w:rPr>
                <w:sz w:val="20"/>
                <w:szCs w:val="20"/>
                <w:lang w:val="en-GB"/>
              </w:rPr>
              <w:t>, etc.</w:t>
            </w:r>
          </w:p>
          <w:p w14:paraId="1D2958B2" w14:textId="77777777" w:rsidR="00034937" w:rsidRPr="007C3202" w:rsidRDefault="00034937" w:rsidP="00034937">
            <w:pPr>
              <w:pStyle w:val="ListParagraph"/>
              <w:numPr>
                <w:ilvl w:val="0"/>
                <w:numId w:val="40"/>
              </w:numPr>
              <w:spacing w:after="0" w:line="252" w:lineRule="auto"/>
              <w:contextualSpacing w:val="0"/>
              <w:jc w:val="both"/>
              <w:rPr>
                <w:sz w:val="20"/>
                <w:szCs w:val="20"/>
                <w:highlight w:val="yellow"/>
                <w:lang w:val="en-GB"/>
              </w:rPr>
            </w:pPr>
            <w:r w:rsidRPr="007C3202">
              <w:rPr>
                <w:sz w:val="20"/>
                <w:szCs w:val="20"/>
                <w:highlight w:val="yellow"/>
                <w:lang w:val="en-GB"/>
              </w:rPr>
              <w:t xml:space="preserve">Hygiene items for general and specific needs (e.g. new-born hygiene, menstrual hygiene) not affordable </w:t>
            </w:r>
          </w:p>
          <w:p w14:paraId="563C5F08" w14:textId="77777777" w:rsidR="00034937" w:rsidRPr="007C3202" w:rsidRDefault="00034937" w:rsidP="00034937">
            <w:pPr>
              <w:pStyle w:val="ListParagraph"/>
              <w:numPr>
                <w:ilvl w:val="0"/>
                <w:numId w:val="40"/>
              </w:numPr>
              <w:spacing w:after="0" w:line="252" w:lineRule="auto"/>
              <w:contextualSpacing w:val="0"/>
              <w:jc w:val="both"/>
              <w:rPr>
                <w:sz w:val="20"/>
                <w:szCs w:val="20"/>
                <w:lang w:val="en-GB"/>
              </w:rPr>
            </w:pPr>
            <w:r w:rsidRPr="007C3202">
              <w:rPr>
                <w:sz w:val="20"/>
                <w:szCs w:val="20"/>
                <w:lang w:val="en-GB"/>
              </w:rPr>
              <w:t xml:space="preserve">Lack of knowledge and skills on hygiene and sanitation practices </w:t>
            </w:r>
          </w:p>
          <w:p w14:paraId="6516A2DA" w14:textId="77777777" w:rsidR="00034937" w:rsidRPr="007C3202" w:rsidRDefault="00034937" w:rsidP="00034937">
            <w:pPr>
              <w:pStyle w:val="ListParagraph"/>
              <w:numPr>
                <w:ilvl w:val="0"/>
                <w:numId w:val="40"/>
              </w:numPr>
              <w:spacing w:after="0" w:line="252" w:lineRule="auto"/>
              <w:contextualSpacing w:val="0"/>
              <w:jc w:val="both"/>
              <w:rPr>
                <w:sz w:val="20"/>
                <w:szCs w:val="20"/>
                <w:lang w:val="en-GB"/>
              </w:rPr>
            </w:pPr>
            <w:r w:rsidRPr="007C3202">
              <w:rPr>
                <w:sz w:val="20"/>
                <w:szCs w:val="20"/>
                <w:highlight w:val="yellow"/>
                <w:lang w:val="en-GB"/>
              </w:rPr>
              <w:t>Safe water and water treatment not affordable</w:t>
            </w:r>
          </w:p>
        </w:tc>
        <w:tc>
          <w:tcPr>
            <w:tcW w:w="360" w:type="dxa"/>
            <w:shd w:val="clear" w:color="auto" w:fill="DEEAF6" w:themeFill="accent5" w:themeFillTint="33"/>
            <w:tcMar>
              <w:top w:w="15" w:type="dxa"/>
              <w:left w:w="60" w:type="dxa"/>
              <w:bottom w:w="0" w:type="dxa"/>
              <w:right w:w="60" w:type="dxa"/>
            </w:tcMar>
            <w:vAlign w:val="center"/>
          </w:tcPr>
          <w:p w14:paraId="30726315" w14:textId="77777777" w:rsidR="00034937" w:rsidRPr="007C3202" w:rsidRDefault="00034937" w:rsidP="009D61C9">
            <w:pPr>
              <w:spacing w:after="0"/>
              <w:jc w:val="center"/>
              <w:rPr>
                <w:b/>
                <w:bCs/>
                <w:sz w:val="20"/>
                <w:szCs w:val="20"/>
                <w:lang w:val="en-GB"/>
              </w:rPr>
            </w:pPr>
          </w:p>
        </w:tc>
        <w:tc>
          <w:tcPr>
            <w:tcW w:w="3785" w:type="dxa"/>
            <w:shd w:val="clear" w:color="auto" w:fill="DEEAF6" w:themeFill="accent5" w:themeFillTint="33"/>
          </w:tcPr>
          <w:p w14:paraId="2F4FE6F6" w14:textId="77777777" w:rsidR="00034937" w:rsidRPr="007C3202" w:rsidRDefault="00034937" w:rsidP="00034937">
            <w:pPr>
              <w:numPr>
                <w:ilvl w:val="0"/>
                <w:numId w:val="39"/>
              </w:numPr>
              <w:tabs>
                <w:tab w:val="clear" w:pos="360"/>
                <w:tab w:val="num" w:pos="720"/>
              </w:tabs>
              <w:spacing w:after="0" w:line="252" w:lineRule="auto"/>
              <w:jc w:val="both"/>
              <w:rPr>
                <w:sz w:val="20"/>
                <w:szCs w:val="20"/>
                <w:lang w:val="en-GB"/>
              </w:rPr>
            </w:pPr>
            <w:r w:rsidRPr="007C3202">
              <w:rPr>
                <w:sz w:val="20"/>
                <w:szCs w:val="20"/>
                <w:lang w:val="en-GB"/>
              </w:rPr>
              <w:t>Health services not sufficiently available</w:t>
            </w:r>
          </w:p>
          <w:p w14:paraId="275C260A" w14:textId="77777777" w:rsidR="00034937" w:rsidRPr="007C3202" w:rsidRDefault="00034937" w:rsidP="00034937">
            <w:pPr>
              <w:numPr>
                <w:ilvl w:val="0"/>
                <w:numId w:val="39"/>
              </w:numPr>
              <w:tabs>
                <w:tab w:val="clear" w:pos="360"/>
                <w:tab w:val="num" w:pos="720"/>
              </w:tabs>
              <w:spacing w:after="0" w:line="252" w:lineRule="auto"/>
              <w:jc w:val="both"/>
              <w:rPr>
                <w:sz w:val="20"/>
                <w:szCs w:val="20"/>
                <w:lang w:val="en-GB"/>
              </w:rPr>
            </w:pPr>
            <w:r w:rsidRPr="007C3202">
              <w:rPr>
                <w:sz w:val="20"/>
                <w:szCs w:val="20"/>
                <w:lang w:val="en-GB"/>
              </w:rPr>
              <w:t>Health service of insufficient quality</w:t>
            </w:r>
          </w:p>
          <w:p w14:paraId="152C09BA" w14:textId="77777777" w:rsidR="00034937" w:rsidRPr="007C3202" w:rsidRDefault="00034937" w:rsidP="00034937">
            <w:pPr>
              <w:numPr>
                <w:ilvl w:val="0"/>
                <w:numId w:val="39"/>
              </w:numPr>
              <w:tabs>
                <w:tab w:val="clear" w:pos="360"/>
                <w:tab w:val="num" w:pos="720"/>
              </w:tabs>
              <w:spacing w:after="0" w:line="252" w:lineRule="auto"/>
              <w:jc w:val="both"/>
              <w:rPr>
                <w:sz w:val="20"/>
                <w:szCs w:val="20"/>
                <w:lang w:val="en-GB"/>
              </w:rPr>
            </w:pPr>
            <w:r w:rsidRPr="007C3202">
              <w:rPr>
                <w:sz w:val="20"/>
                <w:szCs w:val="20"/>
                <w:lang w:val="en-GB"/>
              </w:rPr>
              <w:t>Adequate drugs, supplies (e.g. therapeutic foods) and equipment for maternal and child health services are not available</w:t>
            </w:r>
          </w:p>
          <w:p w14:paraId="557DF1F8" w14:textId="77777777" w:rsidR="00034937" w:rsidRPr="007C3202" w:rsidRDefault="00034937" w:rsidP="00034937">
            <w:pPr>
              <w:numPr>
                <w:ilvl w:val="0"/>
                <w:numId w:val="39"/>
              </w:numPr>
              <w:tabs>
                <w:tab w:val="clear" w:pos="360"/>
                <w:tab w:val="num" w:pos="720"/>
              </w:tabs>
              <w:spacing w:after="0" w:line="252" w:lineRule="auto"/>
              <w:jc w:val="both"/>
              <w:rPr>
                <w:sz w:val="20"/>
                <w:szCs w:val="20"/>
                <w:lang w:val="en-GB"/>
              </w:rPr>
            </w:pPr>
            <w:r w:rsidRPr="007C3202">
              <w:rPr>
                <w:sz w:val="20"/>
                <w:szCs w:val="20"/>
                <w:lang w:val="en-GB"/>
              </w:rPr>
              <w:t>Hygiene and sanitation items for general and specific needs not available in the local market</w:t>
            </w:r>
          </w:p>
          <w:p w14:paraId="5BB8A948" w14:textId="77777777" w:rsidR="00034937" w:rsidRPr="007C3202" w:rsidRDefault="00034937" w:rsidP="00034937">
            <w:pPr>
              <w:numPr>
                <w:ilvl w:val="0"/>
                <w:numId w:val="39"/>
              </w:numPr>
              <w:tabs>
                <w:tab w:val="clear" w:pos="360"/>
                <w:tab w:val="num" w:pos="720"/>
              </w:tabs>
              <w:spacing w:after="0" w:line="252" w:lineRule="auto"/>
              <w:jc w:val="both"/>
              <w:rPr>
                <w:sz w:val="20"/>
                <w:szCs w:val="20"/>
                <w:lang w:val="en-GB"/>
              </w:rPr>
            </w:pPr>
            <w:r w:rsidRPr="007C3202">
              <w:rPr>
                <w:sz w:val="20"/>
                <w:szCs w:val="20"/>
                <w:lang w:val="en-GB"/>
              </w:rPr>
              <w:t>Inadequate availability and quality of water at household, community and health facilities level</w:t>
            </w:r>
          </w:p>
          <w:p w14:paraId="56432877" w14:textId="77777777" w:rsidR="00034937" w:rsidRPr="007C3202" w:rsidRDefault="00034937" w:rsidP="00034937">
            <w:pPr>
              <w:numPr>
                <w:ilvl w:val="0"/>
                <w:numId w:val="39"/>
              </w:numPr>
              <w:tabs>
                <w:tab w:val="clear" w:pos="360"/>
                <w:tab w:val="num" w:pos="720"/>
              </w:tabs>
              <w:spacing w:after="0" w:line="252" w:lineRule="auto"/>
              <w:jc w:val="both"/>
              <w:rPr>
                <w:sz w:val="20"/>
                <w:szCs w:val="20"/>
                <w:lang w:val="en-GB"/>
              </w:rPr>
            </w:pPr>
            <w:r w:rsidRPr="007C3202">
              <w:rPr>
                <w:sz w:val="20"/>
                <w:szCs w:val="20"/>
                <w:lang w:val="en-GB"/>
              </w:rPr>
              <w:t>Inadequate water and sanitation infrastructure</w:t>
            </w:r>
          </w:p>
          <w:p w14:paraId="697439FD" w14:textId="77777777" w:rsidR="00034937" w:rsidRPr="007C3202" w:rsidRDefault="00034937" w:rsidP="00034937">
            <w:pPr>
              <w:numPr>
                <w:ilvl w:val="0"/>
                <w:numId w:val="39"/>
              </w:numPr>
              <w:tabs>
                <w:tab w:val="clear" w:pos="360"/>
                <w:tab w:val="num" w:pos="720"/>
              </w:tabs>
              <w:spacing w:after="0" w:line="252" w:lineRule="auto"/>
              <w:jc w:val="both"/>
              <w:rPr>
                <w:sz w:val="20"/>
                <w:szCs w:val="20"/>
                <w:lang w:val="en-GB"/>
              </w:rPr>
            </w:pPr>
            <w:r w:rsidRPr="007C3202">
              <w:rPr>
                <w:sz w:val="20"/>
                <w:szCs w:val="20"/>
                <w:lang w:val="en-GB"/>
              </w:rPr>
              <w:t>Inadequate and insufficient water storage at household and health facility level</w:t>
            </w:r>
          </w:p>
          <w:p w14:paraId="2AE19A2B" w14:textId="77777777" w:rsidR="00034937" w:rsidRPr="007C3202" w:rsidRDefault="00034937" w:rsidP="00034937">
            <w:pPr>
              <w:numPr>
                <w:ilvl w:val="0"/>
                <w:numId w:val="39"/>
              </w:numPr>
              <w:tabs>
                <w:tab w:val="clear" w:pos="360"/>
                <w:tab w:val="num" w:pos="720"/>
              </w:tabs>
              <w:spacing w:after="0" w:line="252" w:lineRule="auto"/>
              <w:jc w:val="both"/>
              <w:rPr>
                <w:sz w:val="20"/>
                <w:szCs w:val="20"/>
                <w:lang w:val="en-GB"/>
              </w:rPr>
            </w:pPr>
            <w:r w:rsidRPr="007C3202">
              <w:rPr>
                <w:sz w:val="20"/>
                <w:szCs w:val="20"/>
                <w:lang w:val="en-GB"/>
              </w:rPr>
              <w:t>Lack of hygiene items in the market</w:t>
            </w:r>
          </w:p>
        </w:tc>
      </w:tr>
    </w:tbl>
    <w:p w14:paraId="18F55848" w14:textId="6869897E" w:rsidR="0036176B" w:rsidRPr="00513BF4" w:rsidRDefault="0036176B" w:rsidP="00F906B4">
      <w:pPr>
        <w:jc w:val="both"/>
        <w:rPr>
          <w:lang w:val="en-GB"/>
        </w:rPr>
      </w:pPr>
      <w:r w:rsidRPr="00513BF4">
        <w:rPr>
          <w:highlight w:val="yellow"/>
          <w:lang w:val="en-GB"/>
        </w:rPr>
        <w:t>Economic barriers</w:t>
      </w:r>
    </w:p>
    <w:p w14:paraId="6B5267AB" w14:textId="284F9696" w:rsidR="00352621" w:rsidRPr="00513BF4" w:rsidRDefault="00352621" w:rsidP="00F906B4">
      <w:pPr>
        <w:pStyle w:val="Heading1"/>
        <w:numPr>
          <w:ilvl w:val="0"/>
          <w:numId w:val="0"/>
        </w:numPr>
        <w:jc w:val="both"/>
        <w:rPr>
          <w:lang w:val="en-GB"/>
        </w:rPr>
      </w:pPr>
      <w:bookmarkStart w:id="14" w:name="_Toc46392145"/>
      <w:r w:rsidRPr="00513BF4">
        <w:rPr>
          <w:lang w:val="en-GB"/>
        </w:rPr>
        <w:lastRenderedPageBreak/>
        <w:t>Annex 2: Summary of evidence base</w:t>
      </w:r>
      <w:bookmarkEnd w:id="14"/>
    </w:p>
    <w:p w14:paraId="0B7F0961" w14:textId="77FB2A41" w:rsidR="00034937" w:rsidRPr="00034937" w:rsidRDefault="007F0C70" w:rsidP="00034937">
      <w:pPr>
        <w:jc w:val="both"/>
        <w:rPr>
          <w:i/>
          <w:iCs/>
          <w:lang w:val="en-GB"/>
        </w:rPr>
      </w:pPr>
      <w:r w:rsidRPr="00513BF4">
        <w:rPr>
          <w:i/>
          <w:iCs/>
          <w:lang w:val="en-GB"/>
        </w:rPr>
        <w:t>From: GNC (2020). Draft evidence and guidance note on the use of CVA for nutrition outcomes.</w:t>
      </w:r>
    </w:p>
    <w:p w14:paraId="23977966" w14:textId="7990F2ED" w:rsidR="00034937" w:rsidRPr="003D4225" w:rsidRDefault="00034937" w:rsidP="00034937">
      <w:pPr>
        <w:rPr>
          <w:lang w:val="en-GB"/>
        </w:rPr>
      </w:pPr>
      <w:r w:rsidRPr="003D4225">
        <w:rPr>
          <w:lang w:val="en-GB"/>
        </w:rPr>
        <w:t xml:space="preserve">This chapter </w:t>
      </w:r>
      <w:r>
        <w:rPr>
          <w:lang w:val="en-GB"/>
        </w:rPr>
        <w:t>summarizes</w:t>
      </w:r>
      <w:r w:rsidRPr="003D4225">
        <w:rPr>
          <w:lang w:val="en-GB"/>
        </w:rPr>
        <w:t xml:space="preserve"> the overall evidence base for these pathways and for achieving nutrition outcomes at different levels, with a focus on humanitarian settings. </w:t>
      </w:r>
      <w:r>
        <w:rPr>
          <w:lang w:val="en-GB"/>
        </w:rPr>
        <w:t xml:space="preserve">It further looks at evidence of the impact of design on nutrition outcomes. </w:t>
      </w:r>
      <w:r w:rsidRPr="003D4225">
        <w:rPr>
          <w:lang w:val="en-GB"/>
        </w:rPr>
        <w:t xml:space="preserve">The summary builds on comprehensive evidence reviews which have been conducted by </w:t>
      </w:r>
      <w:hyperlink r:id="rId23" w:history="1">
        <w:r w:rsidRPr="003D4225">
          <w:rPr>
            <w:rStyle w:val="Hyperlink"/>
            <w:lang w:val="en-GB"/>
          </w:rPr>
          <w:t>Fenn</w:t>
        </w:r>
      </w:hyperlink>
      <w:r w:rsidRPr="003D4225">
        <w:rPr>
          <w:lang w:val="en-GB"/>
        </w:rPr>
        <w:t xml:space="preserve"> (2017), </w:t>
      </w:r>
      <w:hyperlink r:id="rId24" w:history="1">
        <w:proofErr w:type="spellStart"/>
        <w:r w:rsidRPr="003D4225">
          <w:rPr>
            <w:rStyle w:val="Hyperlink"/>
            <w:lang w:val="en-GB"/>
          </w:rPr>
          <w:t>Bastagli</w:t>
        </w:r>
        <w:proofErr w:type="spellEnd"/>
        <w:r w:rsidRPr="003D4225">
          <w:rPr>
            <w:rStyle w:val="Hyperlink"/>
            <w:lang w:val="en-GB"/>
          </w:rPr>
          <w:t xml:space="preserve"> et al.</w:t>
        </w:r>
      </w:hyperlink>
      <w:r w:rsidRPr="003D4225">
        <w:rPr>
          <w:lang w:val="en-GB"/>
        </w:rPr>
        <w:t xml:space="preserve"> (2016), </w:t>
      </w:r>
      <w:hyperlink r:id="rId25" w:history="1">
        <w:r w:rsidRPr="003D4225">
          <w:rPr>
            <w:rStyle w:val="Hyperlink"/>
            <w:lang w:val="en-GB"/>
          </w:rPr>
          <w:t>REFANI</w:t>
        </w:r>
      </w:hyperlink>
      <w:r w:rsidRPr="003D4225">
        <w:rPr>
          <w:lang w:val="en-GB"/>
        </w:rPr>
        <w:t xml:space="preserve"> (2015), </w:t>
      </w:r>
      <w:hyperlink r:id="rId26" w:history="1">
        <w:r w:rsidRPr="003D4225">
          <w:rPr>
            <w:rStyle w:val="Hyperlink"/>
            <w:lang w:val="en-GB"/>
          </w:rPr>
          <w:t>De Groot et al.</w:t>
        </w:r>
      </w:hyperlink>
      <w:r w:rsidRPr="003D4225">
        <w:rPr>
          <w:lang w:val="en-GB"/>
        </w:rPr>
        <w:t xml:space="preserve"> (2015), and </w:t>
      </w:r>
      <w:hyperlink r:id="rId27" w:history="1">
        <w:r w:rsidRPr="003D4225">
          <w:rPr>
            <w:rStyle w:val="Hyperlink"/>
            <w:lang w:val="en-GB"/>
          </w:rPr>
          <w:t>Bailey et al.</w:t>
        </w:r>
      </w:hyperlink>
      <w:r w:rsidRPr="003D4225">
        <w:rPr>
          <w:lang w:val="en-GB"/>
        </w:rPr>
        <w:t xml:space="preserve"> (2012). An overview on studies on CVA and nutrition in humanitarian and development settings can be found in </w:t>
      </w:r>
      <w:proofErr w:type="spellStart"/>
      <w:r w:rsidRPr="003D4225">
        <w:rPr>
          <w:lang w:val="en-GB"/>
        </w:rPr>
        <w:t>CaLP’s</w:t>
      </w:r>
      <w:proofErr w:type="spellEnd"/>
      <w:r w:rsidRPr="003D4225">
        <w:rPr>
          <w:lang w:val="en-GB"/>
        </w:rPr>
        <w:t xml:space="preserve"> </w:t>
      </w:r>
      <w:hyperlink r:id="rId28" w:history="1">
        <w:r w:rsidRPr="003D4225">
          <w:rPr>
            <w:rStyle w:val="Hyperlink"/>
            <w:lang w:val="en-GB"/>
          </w:rPr>
          <w:t>CVA and nutrition programming tool</w:t>
        </w:r>
      </w:hyperlink>
      <w:r w:rsidRPr="00752EDD">
        <w:rPr>
          <w:rStyle w:val="Hyperlink"/>
          <w:lang w:val="en-GB"/>
        </w:rPr>
        <w:t xml:space="preserve"> (</w:t>
      </w:r>
      <w:r w:rsidRPr="003D4225">
        <w:rPr>
          <w:lang w:val="en-GB"/>
        </w:rPr>
        <w:t xml:space="preserve">Annex </w:t>
      </w:r>
      <w:r>
        <w:rPr>
          <w:lang w:val="en-GB"/>
        </w:rPr>
        <w:t>4)</w:t>
      </w:r>
      <w:r w:rsidRPr="003D4225">
        <w:rPr>
          <w:lang w:val="en-GB"/>
        </w:rPr>
        <w:t>.</w:t>
      </w:r>
    </w:p>
    <w:p w14:paraId="05190983" w14:textId="77777777" w:rsidR="00034937" w:rsidRPr="003D4225" w:rsidRDefault="00034937" w:rsidP="00034937">
      <w:pPr>
        <w:rPr>
          <w:lang w:val="en-GB"/>
        </w:rPr>
      </w:pPr>
      <w:r w:rsidRPr="003D4225">
        <w:rPr>
          <w:lang w:val="en-GB"/>
        </w:rPr>
        <w:t>There is a sizable and growing body of evidence on the impact of CVA on nutrition outcomes. The bulk of evidence is in development settings, but</w:t>
      </w:r>
      <w:r>
        <w:rPr>
          <w:lang w:val="en-GB"/>
        </w:rPr>
        <w:t xml:space="preserve"> an increasing number of s</w:t>
      </w:r>
      <w:r w:rsidRPr="003D4225">
        <w:rPr>
          <w:lang w:val="en-GB"/>
        </w:rPr>
        <w:t xml:space="preserve">tudies are looking at humanitarian settings as well. </w:t>
      </w:r>
      <w:r>
        <w:rPr>
          <w:lang w:val="en-GB"/>
        </w:rPr>
        <w:t>According to Harvey et al. (2018), t</w:t>
      </w:r>
      <w:r w:rsidRPr="003D4225">
        <w:rPr>
          <w:lang w:val="en-GB"/>
        </w:rPr>
        <w:t xml:space="preserve">he evidence is a mixture of the positive impacts, where cash transfers contributes to nutrition outcomes, and the non-significant, where no clear contribution is identifiable. Table 2 below provides </w:t>
      </w:r>
      <w:r>
        <w:rPr>
          <w:lang w:val="en-GB"/>
        </w:rPr>
        <w:t>a</w:t>
      </w:r>
      <w:r w:rsidRPr="003D4225">
        <w:rPr>
          <w:lang w:val="en-GB"/>
        </w:rPr>
        <w:t xml:space="preserve"> summary of impacts on determinants of adequate nutrition and nutrition status.</w:t>
      </w:r>
    </w:p>
    <w:tbl>
      <w:tblPr>
        <w:tblStyle w:val="TableGrid"/>
        <w:tblW w:w="0" w:type="auto"/>
        <w:tblLook w:val="04A0" w:firstRow="1" w:lastRow="0" w:firstColumn="1" w:lastColumn="0" w:noHBand="0" w:noVBand="1"/>
      </w:tblPr>
      <w:tblGrid>
        <w:gridCol w:w="2927"/>
        <w:gridCol w:w="918"/>
        <w:gridCol w:w="775"/>
        <w:gridCol w:w="700"/>
        <w:gridCol w:w="4030"/>
      </w:tblGrid>
      <w:tr w:rsidR="00034937" w:rsidRPr="007435C6" w14:paraId="251C2FD3" w14:textId="77777777" w:rsidTr="009D61C9">
        <w:tc>
          <w:tcPr>
            <w:tcW w:w="2927" w:type="dxa"/>
            <w:shd w:val="clear" w:color="auto" w:fill="C5E0B3" w:themeFill="accent6" w:themeFillTint="66"/>
          </w:tcPr>
          <w:p w14:paraId="2C8E96B2" w14:textId="77777777" w:rsidR="00034937" w:rsidRPr="007435C6" w:rsidRDefault="00034937" w:rsidP="009D61C9">
            <w:pPr>
              <w:spacing w:after="100" w:afterAutospacing="1"/>
              <w:rPr>
                <w:rFonts w:cstheme="minorHAnsi"/>
                <w:b/>
                <w:bCs/>
                <w:sz w:val="20"/>
                <w:szCs w:val="20"/>
                <w:lang w:val="en-GB"/>
              </w:rPr>
            </w:pPr>
            <w:r w:rsidRPr="007435C6">
              <w:rPr>
                <w:rFonts w:cstheme="minorHAnsi"/>
                <w:b/>
                <w:bCs/>
                <w:sz w:val="20"/>
                <w:szCs w:val="20"/>
                <w:lang w:val="en-GB"/>
              </w:rPr>
              <w:t>Level of impact</w:t>
            </w:r>
          </w:p>
        </w:tc>
        <w:tc>
          <w:tcPr>
            <w:tcW w:w="918" w:type="dxa"/>
            <w:shd w:val="clear" w:color="auto" w:fill="C5E0B3" w:themeFill="accent6" w:themeFillTint="66"/>
          </w:tcPr>
          <w:p w14:paraId="7537F5AA" w14:textId="77777777" w:rsidR="00034937" w:rsidRPr="007435C6" w:rsidRDefault="00034937" w:rsidP="009D61C9">
            <w:pPr>
              <w:spacing w:after="100" w:afterAutospacing="1"/>
              <w:jc w:val="center"/>
              <w:rPr>
                <w:rFonts w:cstheme="minorHAnsi"/>
                <w:b/>
                <w:bCs/>
                <w:sz w:val="20"/>
                <w:szCs w:val="20"/>
                <w:lang w:val="en-GB"/>
              </w:rPr>
            </w:pPr>
            <w:r w:rsidRPr="007435C6">
              <w:rPr>
                <w:rFonts w:cstheme="minorHAnsi"/>
                <w:b/>
                <w:bCs/>
                <w:sz w:val="20"/>
                <w:szCs w:val="20"/>
                <w:lang w:val="en-GB"/>
              </w:rPr>
              <w:t>Mostly positive</w:t>
            </w:r>
          </w:p>
        </w:tc>
        <w:tc>
          <w:tcPr>
            <w:tcW w:w="775" w:type="dxa"/>
            <w:shd w:val="clear" w:color="auto" w:fill="C5E0B3" w:themeFill="accent6" w:themeFillTint="66"/>
          </w:tcPr>
          <w:p w14:paraId="7ED87423" w14:textId="77777777" w:rsidR="00034937" w:rsidRPr="007435C6" w:rsidRDefault="00034937" w:rsidP="009D61C9">
            <w:pPr>
              <w:spacing w:after="100" w:afterAutospacing="1"/>
              <w:jc w:val="center"/>
              <w:rPr>
                <w:rFonts w:cstheme="minorHAnsi"/>
                <w:b/>
                <w:bCs/>
                <w:sz w:val="20"/>
                <w:szCs w:val="20"/>
                <w:lang w:val="en-GB"/>
              </w:rPr>
            </w:pPr>
            <w:r w:rsidRPr="007435C6">
              <w:rPr>
                <w:rFonts w:cstheme="minorHAnsi"/>
                <w:b/>
                <w:bCs/>
                <w:sz w:val="20"/>
                <w:szCs w:val="20"/>
                <w:lang w:val="en-GB"/>
              </w:rPr>
              <w:t>Mixed</w:t>
            </w:r>
          </w:p>
        </w:tc>
        <w:tc>
          <w:tcPr>
            <w:tcW w:w="700" w:type="dxa"/>
            <w:shd w:val="clear" w:color="auto" w:fill="C5E0B3" w:themeFill="accent6" w:themeFillTint="66"/>
          </w:tcPr>
          <w:p w14:paraId="50EC6CCF" w14:textId="77777777" w:rsidR="00034937" w:rsidRPr="007435C6" w:rsidRDefault="00034937" w:rsidP="009D61C9">
            <w:pPr>
              <w:spacing w:after="100" w:afterAutospacing="1"/>
              <w:jc w:val="center"/>
              <w:rPr>
                <w:rFonts w:cstheme="minorHAnsi"/>
                <w:b/>
                <w:bCs/>
                <w:sz w:val="20"/>
                <w:szCs w:val="20"/>
                <w:lang w:val="en-GB"/>
              </w:rPr>
            </w:pPr>
            <w:r w:rsidRPr="007435C6">
              <w:rPr>
                <w:rFonts w:cstheme="minorHAnsi"/>
                <w:b/>
                <w:bCs/>
                <w:sz w:val="20"/>
                <w:szCs w:val="20"/>
                <w:lang w:val="en-GB"/>
              </w:rPr>
              <w:t>None</w:t>
            </w:r>
          </w:p>
        </w:tc>
        <w:tc>
          <w:tcPr>
            <w:tcW w:w="4030" w:type="dxa"/>
            <w:shd w:val="clear" w:color="auto" w:fill="C5E0B3" w:themeFill="accent6" w:themeFillTint="66"/>
          </w:tcPr>
          <w:p w14:paraId="1917120D" w14:textId="77777777" w:rsidR="00034937" w:rsidRPr="007435C6" w:rsidRDefault="00034937" w:rsidP="009D61C9">
            <w:pPr>
              <w:spacing w:after="100" w:afterAutospacing="1"/>
              <w:rPr>
                <w:rFonts w:cstheme="minorHAnsi"/>
                <w:b/>
                <w:bCs/>
                <w:sz w:val="20"/>
                <w:szCs w:val="20"/>
                <w:lang w:val="en-GB"/>
              </w:rPr>
            </w:pPr>
            <w:r w:rsidRPr="007435C6">
              <w:rPr>
                <w:rFonts w:cstheme="minorHAnsi"/>
                <w:b/>
                <w:bCs/>
                <w:sz w:val="20"/>
                <w:szCs w:val="20"/>
                <w:lang w:val="en-GB"/>
              </w:rPr>
              <w:t>Comment</w:t>
            </w:r>
          </w:p>
        </w:tc>
      </w:tr>
      <w:tr w:rsidR="00034937" w:rsidRPr="007435C6" w14:paraId="1638FA77" w14:textId="77777777" w:rsidTr="009D61C9">
        <w:tc>
          <w:tcPr>
            <w:tcW w:w="9350" w:type="dxa"/>
            <w:gridSpan w:val="5"/>
            <w:shd w:val="clear" w:color="auto" w:fill="E2EFD9" w:themeFill="accent6" w:themeFillTint="33"/>
          </w:tcPr>
          <w:p w14:paraId="456386D9" w14:textId="77777777" w:rsidR="00034937" w:rsidRPr="007435C6" w:rsidRDefault="00034937" w:rsidP="009D61C9">
            <w:pPr>
              <w:spacing w:after="100" w:afterAutospacing="1"/>
              <w:rPr>
                <w:rFonts w:cstheme="minorHAnsi"/>
                <w:b/>
                <w:bCs/>
                <w:sz w:val="20"/>
                <w:szCs w:val="20"/>
                <w:lang w:val="en-GB"/>
              </w:rPr>
            </w:pPr>
            <w:r w:rsidRPr="007435C6">
              <w:rPr>
                <w:rFonts w:cstheme="minorHAnsi"/>
                <w:b/>
                <w:bCs/>
                <w:sz w:val="20"/>
                <w:szCs w:val="20"/>
                <w:lang w:val="en-GB"/>
              </w:rPr>
              <w:t>Impact on nutrition status of children</w:t>
            </w:r>
          </w:p>
        </w:tc>
      </w:tr>
      <w:tr w:rsidR="00034937" w:rsidRPr="007435C6" w14:paraId="025A9F97" w14:textId="77777777" w:rsidTr="009D61C9">
        <w:tc>
          <w:tcPr>
            <w:tcW w:w="2927" w:type="dxa"/>
          </w:tcPr>
          <w:p w14:paraId="22ED7396"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Child nutrition status</w:t>
            </w:r>
          </w:p>
        </w:tc>
        <w:tc>
          <w:tcPr>
            <w:tcW w:w="918" w:type="dxa"/>
          </w:tcPr>
          <w:p w14:paraId="0A77F87E" w14:textId="77777777" w:rsidR="00034937" w:rsidRPr="007435C6" w:rsidRDefault="00034937" w:rsidP="009D61C9">
            <w:pPr>
              <w:spacing w:after="100" w:afterAutospacing="1"/>
              <w:jc w:val="center"/>
              <w:rPr>
                <w:rFonts w:cstheme="minorHAnsi"/>
                <w:sz w:val="20"/>
                <w:szCs w:val="20"/>
                <w:lang w:val="en-GB"/>
              </w:rPr>
            </w:pPr>
          </w:p>
        </w:tc>
        <w:tc>
          <w:tcPr>
            <w:tcW w:w="775" w:type="dxa"/>
          </w:tcPr>
          <w:p w14:paraId="3784B9B0"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700" w:type="dxa"/>
          </w:tcPr>
          <w:p w14:paraId="79D46C73" w14:textId="77777777" w:rsidR="00034937" w:rsidRPr="007435C6" w:rsidRDefault="00034937" w:rsidP="009D61C9">
            <w:pPr>
              <w:spacing w:after="100" w:afterAutospacing="1"/>
              <w:jc w:val="center"/>
              <w:rPr>
                <w:rFonts w:cstheme="minorHAnsi"/>
                <w:sz w:val="20"/>
                <w:szCs w:val="20"/>
                <w:lang w:val="en-GB"/>
              </w:rPr>
            </w:pPr>
          </w:p>
        </w:tc>
        <w:tc>
          <w:tcPr>
            <w:tcW w:w="4030" w:type="dxa"/>
          </w:tcPr>
          <w:p w14:paraId="65517DF9"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Mostly positive evidence on stunting, mixed evidence on wasting, limited and inconsistent evidence on MN status</w:t>
            </w:r>
          </w:p>
        </w:tc>
      </w:tr>
      <w:tr w:rsidR="00034937" w:rsidRPr="007435C6" w14:paraId="1481259F" w14:textId="77777777" w:rsidTr="009D61C9">
        <w:tc>
          <w:tcPr>
            <w:tcW w:w="9350" w:type="dxa"/>
            <w:gridSpan w:val="5"/>
            <w:shd w:val="clear" w:color="auto" w:fill="E2EFD9" w:themeFill="accent6" w:themeFillTint="33"/>
          </w:tcPr>
          <w:p w14:paraId="69A90712" w14:textId="77777777" w:rsidR="00034937" w:rsidRPr="007435C6" w:rsidRDefault="00034937" w:rsidP="009D61C9">
            <w:pPr>
              <w:spacing w:after="100" w:afterAutospacing="1"/>
              <w:rPr>
                <w:rFonts w:cstheme="minorHAnsi"/>
                <w:b/>
                <w:bCs/>
                <w:sz w:val="20"/>
                <w:szCs w:val="20"/>
                <w:lang w:val="en-GB"/>
              </w:rPr>
            </w:pPr>
            <w:r w:rsidRPr="007435C6">
              <w:rPr>
                <w:rFonts w:cstheme="minorHAnsi"/>
                <w:b/>
                <w:bCs/>
                <w:sz w:val="20"/>
                <w:szCs w:val="20"/>
                <w:lang w:val="en-GB"/>
              </w:rPr>
              <w:t>Impact on immediate determinants</w:t>
            </w:r>
          </w:p>
        </w:tc>
      </w:tr>
      <w:tr w:rsidR="00034937" w:rsidRPr="007435C6" w14:paraId="1B21643C" w14:textId="77777777" w:rsidTr="009D61C9">
        <w:tc>
          <w:tcPr>
            <w:tcW w:w="2927" w:type="dxa"/>
          </w:tcPr>
          <w:p w14:paraId="398CF458"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Dietary diversity of children</w:t>
            </w:r>
          </w:p>
        </w:tc>
        <w:tc>
          <w:tcPr>
            <w:tcW w:w="918" w:type="dxa"/>
          </w:tcPr>
          <w:p w14:paraId="6F86948E"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775" w:type="dxa"/>
          </w:tcPr>
          <w:p w14:paraId="18FDFB75" w14:textId="77777777" w:rsidR="00034937" w:rsidRPr="007435C6" w:rsidRDefault="00034937" w:rsidP="009D61C9">
            <w:pPr>
              <w:spacing w:after="100" w:afterAutospacing="1"/>
              <w:jc w:val="center"/>
              <w:rPr>
                <w:rFonts w:cstheme="minorHAnsi"/>
                <w:sz w:val="20"/>
                <w:szCs w:val="20"/>
                <w:lang w:val="en-GB"/>
              </w:rPr>
            </w:pPr>
          </w:p>
        </w:tc>
        <w:tc>
          <w:tcPr>
            <w:tcW w:w="700" w:type="dxa"/>
          </w:tcPr>
          <w:p w14:paraId="62A47252" w14:textId="77777777" w:rsidR="00034937" w:rsidRPr="007435C6" w:rsidRDefault="00034937" w:rsidP="009D61C9">
            <w:pPr>
              <w:spacing w:after="100" w:afterAutospacing="1"/>
              <w:jc w:val="center"/>
              <w:rPr>
                <w:rFonts w:cstheme="minorHAnsi"/>
                <w:sz w:val="20"/>
                <w:szCs w:val="20"/>
                <w:lang w:val="en-GB"/>
              </w:rPr>
            </w:pPr>
          </w:p>
        </w:tc>
        <w:tc>
          <w:tcPr>
            <w:tcW w:w="4030" w:type="dxa"/>
          </w:tcPr>
          <w:p w14:paraId="59C2A42E"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Growing positive evidence for children, limited evidence for women</w:t>
            </w:r>
          </w:p>
        </w:tc>
      </w:tr>
      <w:tr w:rsidR="00034937" w:rsidRPr="007435C6" w14:paraId="1ED51CAC" w14:textId="77777777" w:rsidTr="009D61C9">
        <w:tc>
          <w:tcPr>
            <w:tcW w:w="2927" w:type="dxa"/>
          </w:tcPr>
          <w:p w14:paraId="6B0F1E5F"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Health status of children</w:t>
            </w:r>
          </w:p>
        </w:tc>
        <w:tc>
          <w:tcPr>
            <w:tcW w:w="918" w:type="dxa"/>
          </w:tcPr>
          <w:p w14:paraId="3E0D14C7"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775" w:type="dxa"/>
          </w:tcPr>
          <w:p w14:paraId="16E2F049" w14:textId="77777777" w:rsidR="00034937" w:rsidRPr="007435C6" w:rsidRDefault="00034937" w:rsidP="009D61C9">
            <w:pPr>
              <w:spacing w:after="100" w:afterAutospacing="1"/>
              <w:jc w:val="center"/>
              <w:rPr>
                <w:rFonts w:cstheme="minorHAnsi"/>
                <w:sz w:val="20"/>
                <w:szCs w:val="20"/>
                <w:lang w:val="en-GB"/>
              </w:rPr>
            </w:pPr>
          </w:p>
        </w:tc>
        <w:tc>
          <w:tcPr>
            <w:tcW w:w="700" w:type="dxa"/>
          </w:tcPr>
          <w:p w14:paraId="1B28D9C4" w14:textId="77777777" w:rsidR="00034937" w:rsidRPr="007435C6" w:rsidRDefault="00034937" w:rsidP="009D61C9">
            <w:pPr>
              <w:spacing w:after="100" w:afterAutospacing="1"/>
              <w:jc w:val="center"/>
              <w:rPr>
                <w:rFonts w:cstheme="minorHAnsi"/>
                <w:sz w:val="20"/>
                <w:szCs w:val="20"/>
                <w:lang w:val="en-GB"/>
              </w:rPr>
            </w:pPr>
          </w:p>
        </w:tc>
        <w:tc>
          <w:tcPr>
            <w:tcW w:w="4030" w:type="dxa"/>
          </w:tcPr>
          <w:p w14:paraId="0937055B"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Positive impact on improving treatment results in one study</w:t>
            </w:r>
          </w:p>
        </w:tc>
      </w:tr>
      <w:tr w:rsidR="00034937" w:rsidRPr="007435C6" w14:paraId="1FB5C24C" w14:textId="77777777" w:rsidTr="009D61C9">
        <w:tc>
          <w:tcPr>
            <w:tcW w:w="9350" w:type="dxa"/>
            <w:gridSpan w:val="5"/>
            <w:shd w:val="clear" w:color="auto" w:fill="E2EFD9" w:themeFill="accent6" w:themeFillTint="33"/>
          </w:tcPr>
          <w:p w14:paraId="70B9B731" w14:textId="77777777" w:rsidR="00034937" w:rsidRPr="007435C6" w:rsidRDefault="00034937" w:rsidP="009D61C9">
            <w:pPr>
              <w:spacing w:after="100" w:afterAutospacing="1"/>
              <w:rPr>
                <w:rFonts w:cstheme="minorHAnsi"/>
                <w:b/>
                <w:bCs/>
                <w:sz w:val="20"/>
                <w:szCs w:val="20"/>
                <w:lang w:val="en-GB"/>
              </w:rPr>
            </w:pPr>
            <w:r w:rsidRPr="007435C6">
              <w:rPr>
                <w:rFonts w:cstheme="minorHAnsi"/>
                <w:b/>
                <w:bCs/>
                <w:sz w:val="20"/>
                <w:szCs w:val="20"/>
                <w:lang w:val="en-GB"/>
              </w:rPr>
              <w:t>Impact on underlying determinants</w:t>
            </w:r>
          </w:p>
        </w:tc>
      </w:tr>
      <w:tr w:rsidR="00034937" w:rsidRPr="007435C6" w14:paraId="347710E6" w14:textId="77777777" w:rsidTr="009D61C9">
        <w:tc>
          <w:tcPr>
            <w:tcW w:w="2927" w:type="dxa"/>
          </w:tcPr>
          <w:p w14:paraId="1AEB9BE1"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Household food expenditure</w:t>
            </w:r>
          </w:p>
        </w:tc>
        <w:tc>
          <w:tcPr>
            <w:tcW w:w="918" w:type="dxa"/>
          </w:tcPr>
          <w:p w14:paraId="5BC7B80A"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775" w:type="dxa"/>
          </w:tcPr>
          <w:p w14:paraId="17EC4568" w14:textId="77777777" w:rsidR="00034937" w:rsidRPr="007435C6" w:rsidRDefault="00034937" w:rsidP="009D61C9">
            <w:pPr>
              <w:spacing w:after="100" w:afterAutospacing="1"/>
              <w:jc w:val="center"/>
              <w:rPr>
                <w:rFonts w:cstheme="minorHAnsi"/>
                <w:sz w:val="20"/>
                <w:szCs w:val="20"/>
                <w:lang w:val="en-GB"/>
              </w:rPr>
            </w:pPr>
          </w:p>
        </w:tc>
        <w:tc>
          <w:tcPr>
            <w:tcW w:w="700" w:type="dxa"/>
          </w:tcPr>
          <w:p w14:paraId="5E2F5E3A" w14:textId="77777777" w:rsidR="00034937" w:rsidRPr="007435C6" w:rsidRDefault="00034937" w:rsidP="009D61C9">
            <w:pPr>
              <w:spacing w:after="100" w:afterAutospacing="1"/>
              <w:jc w:val="center"/>
              <w:rPr>
                <w:rFonts w:cstheme="minorHAnsi"/>
                <w:sz w:val="20"/>
                <w:szCs w:val="20"/>
                <w:lang w:val="en-GB"/>
              </w:rPr>
            </w:pPr>
          </w:p>
        </w:tc>
        <w:tc>
          <w:tcPr>
            <w:tcW w:w="4030" w:type="dxa"/>
          </w:tcPr>
          <w:p w14:paraId="5A3EC0CB" w14:textId="77777777" w:rsidR="00034937" w:rsidRPr="007435C6" w:rsidRDefault="00034937" w:rsidP="009D61C9">
            <w:pPr>
              <w:spacing w:after="100" w:afterAutospacing="1"/>
              <w:rPr>
                <w:rFonts w:cstheme="minorHAnsi"/>
                <w:sz w:val="20"/>
                <w:szCs w:val="20"/>
                <w:lang w:val="en-GB"/>
              </w:rPr>
            </w:pPr>
          </w:p>
        </w:tc>
      </w:tr>
      <w:tr w:rsidR="00034937" w:rsidRPr="007435C6" w14:paraId="082D8AF6" w14:textId="77777777" w:rsidTr="009D61C9">
        <w:tc>
          <w:tcPr>
            <w:tcW w:w="2927" w:type="dxa"/>
          </w:tcPr>
          <w:p w14:paraId="56D029A2"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Household food consumption and dietary diversity</w:t>
            </w:r>
          </w:p>
        </w:tc>
        <w:tc>
          <w:tcPr>
            <w:tcW w:w="918" w:type="dxa"/>
          </w:tcPr>
          <w:p w14:paraId="0ADA2324"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775" w:type="dxa"/>
          </w:tcPr>
          <w:p w14:paraId="6D82D625" w14:textId="77777777" w:rsidR="00034937" w:rsidRPr="007435C6" w:rsidRDefault="00034937" w:rsidP="009D61C9">
            <w:pPr>
              <w:spacing w:after="100" w:afterAutospacing="1"/>
              <w:jc w:val="center"/>
              <w:rPr>
                <w:rFonts w:cstheme="minorHAnsi"/>
                <w:sz w:val="20"/>
                <w:szCs w:val="20"/>
                <w:lang w:val="en-GB"/>
              </w:rPr>
            </w:pPr>
          </w:p>
        </w:tc>
        <w:tc>
          <w:tcPr>
            <w:tcW w:w="700" w:type="dxa"/>
          </w:tcPr>
          <w:p w14:paraId="4F5E40E0" w14:textId="77777777" w:rsidR="00034937" w:rsidRPr="007435C6" w:rsidRDefault="00034937" w:rsidP="009D61C9">
            <w:pPr>
              <w:spacing w:after="100" w:afterAutospacing="1"/>
              <w:jc w:val="center"/>
              <w:rPr>
                <w:rFonts w:cstheme="minorHAnsi"/>
                <w:sz w:val="20"/>
                <w:szCs w:val="20"/>
                <w:lang w:val="en-GB"/>
              </w:rPr>
            </w:pPr>
          </w:p>
        </w:tc>
        <w:tc>
          <w:tcPr>
            <w:tcW w:w="4030" w:type="dxa"/>
          </w:tcPr>
          <w:p w14:paraId="6DEBBFE4"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Consistent positive impact of CVA</w:t>
            </w:r>
          </w:p>
        </w:tc>
      </w:tr>
      <w:tr w:rsidR="00034937" w:rsidRPr="007435C6" w14:paraId="004E2683" w14:textId="77777777" w:rsidTr="009D61C9">
        <w:tc>
          <w:tcPr>
            <w:tcW w:w="2927" w:type="dxa"/>
          </w:tcPr>
          <w:p w14:paraId="5638C007"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Uptake in preventative health services</w:t>
            </w:r>
          </w:p>
        </w:tc>
        <w:tc>
          <w:tcPr>
            <w:tcW w:w="918" w:type="dxa"/>
          </w:tcPr>
          <w:p w14:paraId="5A2BC361"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775" w:type="dxa"/>
          </w:tcPr>
          <w:p w14:paraId="5BF33D39" w14:textId="77777777" w:rsidR="00034937" w:rsidRPr="007435C6" w:rsidRDefault="00034937" w:rsidP="009D61C9">
            <w:pPr>
              <w:spacing w:after="100" w:afterAutospacing="1"/>
              <w:jc w:val="center"/>
              <w:rPr>
                <w:rFonts w:cstheme="minorHAnsi"/>
                <w:sz w:val="20"/>
                <w:szCs w:val="20"/>
                <w:lang w:val="en-GB"/>
              </w:rPr>
            </w:pPr>
          </w:p>
        </w:tc>
        <w:tc>
          <w:tcPr>
            <w:tcW w:w="700" w:type="dxa"/>
          </w:tcPr>
          <w:p w14:paraId="1D809D82" w14:textId="77777777" w:rsidR="00034937" w:rsidRPr="007435C6" w:rsidRDefault="00034937" w:rsidP="009D61C9">
            <w:pPr>
              <w:spacing w:after="100" w:afterAutospacing="1"/>
              <w:jc w:val="center"/>
              <w:rPr>
                <w:rFonts w:cstheme="minorHAnsi"/>
                <w:sz w:val="20"/>
                <w:szCs w:val="20"/>
                <w:lang w:val="en-GB"/>
              </w:rPr>
            </w:pPr>
          </w:p>
        </w:tc>
        <w:tc>
          <w:tcPr>
            <w:tcW w:w="4030" w:type="dxa"/>
          </w:tcPr>
          <w:p w14:paraId="6A2749FC"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Evidence mostly from development settings</w:t>
            </w:r>
          </w:p>
        </w:tc>
      </w:tr>
      <w:tr w:rsidR="00034937" w:rsidRPr="007435C6" w14:paraId="5B854357" w14:textId="77777777" w:rsidTr="009D61C9">
        <w:tc>
          <w:tcPr>
            <w:tcW w:w="2927" w:type="dxa"/>
          </w:tcPr>
          <w:p w14:paraId="51281A86"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Water, sanitation and hygiene</w:t>
            </w:r>
          </w:p>
        </w:tc>
        <w:tc>
          <w:tcPr>
            <w:tcW w:w="918" w:type="dxa"/>
          </w:tcPr>
          <w:p w14:paraId="0A8E6399"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775" w:type="dxa"/>
          </w:tcPr>
          <w:p w14:paraId="138F8913" w14:textId="77777777" w:rsidR="00034937" w:rsidRPr="007435C6" w:rsidRDefault="00034937" w:rsidP="009D61C9">
            <w:pPr>
              <w:spacing w:after="100" w:afterAutospacing="1"/>
              <w:jc w:val="center"/>
              <w:rPr>
                <w:rFonts w:cstheme="minorHAnsi"/>
                <w:sz w:val="20"/>
                <w:szCs w:val="20"/>
                <w:lang w:val="en-GB"/>
              </w:rPr>
            </w:pPr>
          </w:p>
        </w:tc>
        <w:tc>
          <w:tcPr>
            <w:tcW w:w="700" w:type="dxa"/>
          </w:tcPr>
          <w:p w14:paraId="048A62FD" w14:textId="77777777" w:rsidR="00034937" w:rsidRPr="007435C6" w:rsidRDefault="00034937" w:rsidP="009D61C9">
            <w:pPr>
              <w:spacing w:after="100" w:afterAutospacing="1"/>
              <w:jc w:val="center"/>
              <w:rPr>
                <w:rFonts w:cstheme="minorHAnsi"/>
                <w:sz w:val="20"/>
                <w:szCs w:val="20"/>
                <w:lang w:val="en-GB"/>
              </w:rPr>
            </w:pPr>
          </w:p>
        </w:tc>
        <w:tc>
          <w:tcPr>
            <w:tcW w:w="4030" w:type="dxa"/>
          </w:tcPr>
          <w:p w14:paraId="4C044985"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Limited positive evidence access to water, sanitation and hygiene items</w:t>
            </w:r>
          </w:p>
        </w:tc>
      </w:tr>
      <w:tr w:rsidR="00034937" w:rsidRPr="007435C6" w14:paraId="64B1BCEB" w14:textId="77777777" w:rsidTr="009D61C9">
        <w:tc>
          <w:tcPr>
            <w:tcW w:w="2927" w:type="dxa"/>
          </w:tcPr>
          <w:p w14:paraId="22753A26"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Feeding behaviours and practices</w:t>
            </w:r>
          </w:p>
        </w:tc>
        <w:tc>
          <w:tcPr>
            <w:tcW w:w="918" w:type="dxa"/>
          </w:tcPr>
          <w:p w14:paraId="0644799B" w14:textId="77777777" w:rsidR="00034937" w:rsidRPr="007435C6" w:rsidRDefault="00034937" w:rsidP="009D61C9">
            <w:pPr>
              <w:spacing w:after="100" w:afterAutospacing="1"/>
              <w:jc w:val="center"/>
              <w:rPr>
                <w:rFonts w:cstheme="minorHAnsi"/>
                <w:sz w:val="20"/>
                <w:szCs w:val="20"/>
                <w:lang w:val="en-GB"/>
              </w:rPr>
            </w:pPr>
          </w:p>
        </w:tc>
        <w:tc>
          <w:tcPr>
            <w:tcW w:w="775" w:type="dxa"/>
          </w:tcPr>
          <w:p w14:paraId="0BF9F2D3" w14:textId="77777777" w:rsidR="00034937" w:rsidRPr="007435C6" w:rsidRDefault="00034937" w:rsidP="009D61C9">
            <w:pPr>
              <w:spacing w:after="100" w:afterAutospacing="1"/>
              <w:jc w:val="center"/>
              <w:rPr>
                <w:rFonts w:cstheme="minorHAnsi"/>
                <w:sz w:val="20"/>
                <w:szCs w:val="20"/>
                <w:lang w:val="en-GB"/>
              </w:rPr>
            </w:pPr>
          </w:p>
        </w:tc>
        <w:tc>
          <w:tcPr>
            <w:tcW w:w="700" w:type="dxa"/>
          </w:tcPr>
          <w:p w14:paraId="0EE52F05"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4030" w:type="dxa"/>
          </w:tcPr>
          <w:p w14:paraId="0949864C"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No evidence mainly due to the heterogeneity of indicators used</w:t>
            </w:r>
          </w:p>
        </w:tc>
      </w:tr>
      <w:tr w:rsidR="00034937" w:rsidRPr="007435C6" w14:paraId="75E9568E" w14:textId="77777777" w:rsidTr="009D61C9">
        <w:tc>
          <w:tcPr>
            <w:tcW w:w="2927" w:type="dxa"/>
          </w:tcPr>
          <w:p w14:paraId="11A95CC4"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Psychosocial care for children</w:t>
            </w:r>
          </w:p>
        </w:tc>
        <w:tc>
          <w:tcPr>
            <w:tcW w:w="918" w:type="dxa"/>
          </w:tcPr>
          <w:p w14:paraId="29587311" w14:textId="77777777" w:rsidR="00034937" w:rsidRPr="007435C6" w:rsidRDefault="00034937" w:rsidP="009D61C9">
            <w:pPr>
              <w:spacing w:after="100" w:afterAutospacing="1"/>
              <w:jc w:val="center"/>
              <w:rPr>
                <w:rFonts w:cstheme="minorHAnsi"/>
                <w:sz w:val="20"/>
                <w:szCs w:val="20"/>
                <w:lang w:val="en-GB"/>
              </w:rPr>
            </w:pPr>
          </w:p>
        </w:tc>
        <w:tc>
          <w:tcPr>
            <w:tcW w:w="775" w:type="dxa"/>
          </w:tcPr>
          <w:p w14:paraId="41431EEE" w14:textId="77777777" w:rsidR="00034937" w:rsidRPr="007435C6" w:rsidRDefault="00034937" w:rsidP="009D61C9">
            <w:pPr>
              <w:spacing w:after="100" w:afterAutospacing="1"/>
              <w:jc w:val="center"/>
              <w:rPr>
                <w:rFonts w:cstheme="minorHAnsi"/>
                <w:sz w:val="20"/>
                <w:szCs w:val="20"/>
                <w:lang w:val="en-GB"/>
              </w:rPr>
            </w:pPr>
          </w:p>
        </w:tc>
        <w:tc>
          <w:tcPr>
            <w:tcW w:w="700" w:type="dxa"/>
          </w:tcPr>
          <w:p w14:paraId="47065C70"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4030" w:type="dxa"/>
          </w:tcPr>
          <w:p w14:paraId="5A151592"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No evidence mainly due to the heterogeneity of indicators used</w:t>
            </w:r>
          </w:p>
        </w:tc>
      </w:tr>
      <w:tr w:rsidR="00034937" w:rsidRPr="007435C6" w14:paraId="36085D9F" w14:textId="77777777" w:rsidTr="009D61C9">
        <w:tc>
          <w:tcPr>
            <w:tcW w:w="2927" w:type="dxa"/>
          </w:tcPr>
          <w:p w14:paraId="13AA8198"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Intra-household decision making</w:t>
            </w:r>
          </w:p>
        </w:tc>
        <w:tc>
          <w:tcPr>
            <w:tcW w:w="918" w:type="dxa"/>
          </w:tcPr>
          <w:p w14:paraId="0F3A6F60"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775" w:type="dxa"/>
          </w:tcPr>
          <w:p w14:paraId="4FCF7078" w14:textId="77777777" w:rsidR="00034937" w:rsidRPr="007435C6" w:rsidRDefault="00034937" w:rsidP="009D61C9">
            <w:pPr>
              <w:spacing w:after="100" w:afterAutospacing="1"/>
              <w:jc w:val="center"/>
              <w:rPr>
                <w:rFonts w:cstheme="minorHAnsi"/>
                <w:sz w:val="20"/>
                <w:szCs w:val="20"/>
                <w:lang w:val="en-GB"/>
              </w:rPr>
            </w:pPr>
          </w:p>
        </w:tc>
        <w:tc>
          <w:tcPr>
            <w:tcW w:w="700" w:type="dxa"/>
          </w:tcPr>
          <w:p w14:paraId="641A8714" w14:textId="77777777" w:rsidR="00034937" w:rsidRPr="007435C6" w:rsidRDefault="00034937" w:rsidP="009D61C9">
            <w:pPr>
              <w:spacing w:after="100" w:afterAutospacing="1"/>
              <w:jc w:val="center"/>
              <w:rPr>
                <w:rFonts w:cstheme="minorHAnsi"/>
                <w:sz w:val="20"/>
                <w:szCs w:val="20"/>
                <w:lang w:val="en-GB"/>
              </w:rPr>
            </w:pPr>
          </w:p>
        </w:tc>
        <w:tc>
          <w:tcPr>
            <w:tcW w:w="4030" w:type="dxa"/>
          </w:tcPr>
          <w:p w14:paraId="68BD0226" w14:textId="77777777" w:rsidR="00034937" w:rsidRPr="007435C6" w:rsidRDefault="00034937" w:rsidP="009D61C9">
            <w:pPr>
              <w:spacing w:after="100" w:afterAutospacing="1"/>
              <w:rPr>
                <w:rFonts w:cstheme="minorHAnsi"/>
                <w:sz w:val="20"/>
                <w:szCs w:val="20"/>
                <w:lang w:val="en-GB"/>
              </w:rPr>
            </w:pPr>
          </w:p>
        </w:tc>
      </w:tr>
      <w:tr w:rsidR="00034937" w:rsidRPr="007435C6" w14:paraId="332D66FD" w14:textId="77777777" w:rsidTr="009D61C9">
        <w:tc>
          <w:tcPr>
            <w:tcW w:w="2927" w:type="dxa"/>
          </w:tcPr>
          <w:p w14:paraId="79FC733A"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Intimate partner violence</w:t>
            </w:r>
          </w:p>
        </w:tc>
        <w:tc>
          <w:tcPr>
            <w:tcW w:w="918" w:type="dxa"/>
          </w:tcPr>
          <w:p w14:paraId="64DD696F"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775" w:type="dxa"/>
          </w:tcPr>
          <w:p w14:paraId="1D22C0C9" w14:textId="77777777" w:rsidR="00034937" w:rsidRPr="007435C6" w:rsidRDefault="00034937" w:rsidP="009D61C9">
            <w:pPr>
              <w:spacing w:after="100" w:afterAutospacing="1"/>
              <w:jc w:val="center"/>
              <w:rPr>
                <w:rFonts w:cstheme="minorHAnsi"/>
                <w:sz w:val="20"/>
                <w:szCs w:val="20"/>
                <w:lang w:val="en-GB"/>
              </w:rPr>
            </w:pPr>
          </w:p>
        </w:tc>
        <w:tc>
          <w:tcPr>
            <w:tcW w:w="700" w:type="dxa"/>
          </w:tcPr>
          <w:p w14:paraId="594AA35A" w14:textId="77777777" w:rsidR="00034937" w:rsidRPr="007435C6" w:rsidRDefault="00034937" w:rsidP="009D61C9">
            <w:pPr>
              <w:spacing w:after="100" w:afterAutospacing="1"/>
              <w:jc w:val="center"/>
              <w:rPr>
                <w:rFonts w:cstheme="minorHAnsi"/>
                <w:sz w:val="20"/>
                <w:szCs w:val="20"/>
                <w:lang w:val="en-GB"/>
              </w:rPr>
            </w:pPr>
          </w:p>
        </w:tc>
        <w:tc>
          <w:tcPr>
            <w:tcW w:w="4030" w:type="dxa"/>
          </w:tcPr>
          <w:p w14:paraId="1F69A6B6"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Positive results are mainly due to a reduction in income-related tension, frustration, and fighting</w:t>
            </w:r>
          </w:p>
        </w:tc>
      </w:tr>
      <w:tr w:rsidR="00034937" w:rsidRPr="007435C6" w14:paraId="3A5906E2" w14:textId="77777777" w:rsidTr="009D61C9">
        <w:tc>
          <w:tcPr>
            <w:tcW w:w="2927" w:type="dxa"/>
          </w:tcPr>
          <w:p w14:paraId="6FD4CDB3"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Caregivers’ mental health</w:t>
            </w:r>
          </w:p>
        </w:tc>
        <w:tc>
          <w:tcPr>
            <w:tcW w:w="918" w:type="dxa"/>
          </w:tcPr>
          <w:p w14:paraId="51E44B68" w14:textId="77777777" w:rsidR="00034937" w:rsidRPr="007435C6" w:rsidRDefault="00034937" w:rsidP="009D61C9">
            <w:pPr>
              <w:spacing w:after="100" w:afterAutospacing="1"/>
              <w:jc w:val="center"/>
              <w:rPr>
                <w:rFonts w:cstheme="minorHAnsi"/>
                <w:sz w:val="20"/>
                <w:szCs w:val="20"/>
                <w:lang w:val="en-GB"/>
              </w:rPr>
            </w:pPr>
          </w:p>
        </w:tc>
        <w:tc>
          <w:tcPr>
            <w:tcW w:w="775" w:type="dxa"/>
          </w:tcPr>
          <w:p w14:paraId="3E2DA687" w14:textId="77777777" w:rsidR="00034937" w:rsidRPr="007435C6" w:rsidRDefault="00034937" w:rsidP="009D61C9">
            <w:pPr>
              <w:spacing w:after="100" w:afterAutospacing="1"/>
              <w:jc w:val="center"/>
              <w:rPr>
                <w:rFonts w:cstheme="minorHAnsi"/>
                <w:sz w:val="20"/>
                <w:szCs w:val="20"/>
                <w:lang w:val="en-GB"/>
              </w:rPr>
            </w:pPr>
          </w:p>
        </w:tc>
        <w:tc>
          <w:tcPr>
            <w:tcW w:w="700" w:type="dxa"/>
          </w:tcPr>
          <w:p w14:paraId="785A6966" w14:textId="77777777" w:rsidR="00034937" w:rsidRPr="007435C6" w:rsidRDefault="00034937" w:rsidP="009D61C9">
            <w:pPr>
              <w:spacing w:after="100" w:afterAutospacing="1"/>
              <w:jc w:val="center"/>
              <w:rPr>
                <w:rFonts w:cstheme="minorHAnsi"/>
                <w:sz w:val="20"/>
                <w:szCs w:val="20"/>
                <w:lang w:val="en-GB"/>
              </w:rPr>
            </w:pPr>
            <w:r w:rsidRPr="007435C6">
              <w:rPr>
                <w:rFonts w:cstheme="minorHAnsi"/>
                <w:sz w:val="20"/>
                <w:szCs w:val="20"/>
                <w:lang w:val="en-GB"/>
              </w:rPr>
              <w:t>*</w:t>
            </w:r>
          </w:p>
        </w:tc>
        <w:tc>
          <w:tcPr>
            <w:tcW w:w="4030" w:type="dxa"/>
          </w:tcPr>
          <w:p w14:paraId="3F8A5E86" w14:textId="77777777" w:rsidR="00034937" w:rsidRPr="007435C6" w:rsidRDefault="00034937" w:rsidP="009D61C9">
            <w:pPr>
              <w:spacing w:after="100" w:afterAutospacing="1"/>
              <w:rPr>
                <w:rFonts w:cstheme="minorHAnsi"/>
                <w:sz w:val="20"/>
                <w:szCs w:val="20"/>
                <w:lang w:val="en-GB"/>
              </w:rPr>
            </w:pPr>
            <w:r w:rsidRPr="007435C6">
              <w:rPr>
                <w:rFonts w:cstheme="minorHAnsi"/>
                <w:sz w:val="20"/>
                <w:szCs w:val="20"/>
                <w:lang w:val="en-GB"/>
              </w:rPr>
              <w:t xml:space="preserve">Psychosocial wellbeing as positive spill-over from receiving CVA </w:t>
            </w:r>
          </w:p>
        </w:tc>
      </w:tr>
    </w:tbl>
    <w:p w14:paraId="0469DB88" w14:textId="77777777" w:rsidR="00034937" w:rsidRPr="003D4225" w:rsidRDefault="00034937" w:rsidP="00034937">
      <w:pPr>
        <w:rPr>
          <w:lang w:val="en-GB"/>
        </w:rPr>
      </w:pPr>
      <w:r w:rsidRPr="003D4225">
        <w:rPr>
          <w:lang w:val="en-GB"/>
        </w:rPr>
        <w:t>Strength of evidence: * none or limited, ** growing, *** moderate, **** strong</w:t>
      </w:r>
    </w:p>
    <w:p w14:paraId="6C179232" w14:textId="2EC445F4" w:rsidR="00034937" w:rsidRPr="003D4225" w:rsidRDefault="00034937" w:rsidP="00034937">
      <w:pPr>
        <w:rPr>
          <w:lang w:val="en-GB"/>
        </w:rPr>
      </w:pPr>
      <w:r w:rsidRPr="003D4225">
        <w:rPr>
          <w:lang w:val="en-GB"/>
        </w:rPr>
        <w:lastRenderedPageBreak/>
        <w:t>Table</w:t>
      </w:r>
      <w:r>
        <w:rPr>
          <w:lang w:val="en-GB"/>
        </w:rPr>
        <w:t>:</w:t>
      </w:r>
      <w:r w:rsidRPr="003D4225">
        <w:rPr>
          <w:lang w:val="en-GB"/>
        </w:rPr>
        <w:t xml:space="preserve"> Summary of impacts of CVA on nutrition</w:t>
      </w:r>
      <w:r>
        <w:rPr>
          <w:rStyle w:val="FootnoteReference"/>
          <w:lang w:val="en-GB"/>
        </w:rPr>
        <w:footnoteReference w:id="14"/>
      </w:r>
    </w:p>
    <w:p w14:paraId="5F50854B" w14:textId="77777777" w:rsidR="00034937" w:rsidRPr="003D4225" w:rsidRDefault="00034937" w:rsidP="00034937">
      <w:pPr>
        <w:rPr>
          <w:lang w:val="en-GB"/>
        </w:rPr>
      </w:pPr>
    </w:p>
    <w:p w14:paraId="2F167546" w14:textId="77777777" w:rsidR="00034937" w:rsidRPr="003D4225" w:rsidRDefault="00034937" w:rsidP="00034937">
      <w:pPr>
        <w:rPr>
          <w:b/>
          <w:bCs/>
          <w:i/>
          <w:iCs/>
          <w:lang w:val="en-GB"/>
        </w:rPr>
      </w:pPr>
      <w:r w:rsidRPr="003D4225">
        <w:rPr>
          <w:b/>
          <w:bCs/>
          <w:i/>
          <w:iCs/>
          <w:lang w:val="en-GB"/>
        </w:rPr>
        <w:t>Nutrition status of children and women</w:t>
      </w:r>
    </w:p>
    <w:p w14:paraId="0B9DCEE8" w14:textId="77777777" w:rsidR="00034937" w:rsidRPr="003D4225" w:rsidRDefault="00034937" w:rsidP="00034937">
      <w:pPr>
        <w:rPr>
          <w:lang w:val="en-GB"/>
        </w:rPr>
      </w:pPr>
      <w:proofErr w:type="spellStart"/>
      <w:r w:rsidRPr="003D4225">
        <w:rPr>
          <w:lang w:val="en-GB"/>
        </w:rPr>
        <w:t>Bastagli</w:t>
      </w:r>
      <w:proofErr w:type="spellEnd"/>
      <w:r w:rsidRPr="003D4225">
        <w:rPr>
          <w:lang w:val="en-GB"/>
        </w:rPr>
        <w:t xml:space="preserve"> et al. (2016) found statistically significant positive changes in anthropometric outcomes for </w:t>
      </w:r>
      <w:r w:rsidRPr="003D4225">
        <w:rPr>
          <w:i/>
          <w:iCs/>
          <w:lang w:val="en-GB"/>
        </w:rPr>
        <w:t>wasting</w:t>
      </w:r>
      <w:r w:rsidRPr="003D4225">
        <w:rPr>
          <w:lang w:val="en-GB"/>
        </w:rPr>
        <w:t xml:space="preserve"> in one out of five studies. More recent studies in humanitarian settings also documented statistically significant impacts of CVA on wasting (Kurdi et al., 2019</w:t>
      </w:r>
      <w:r>
        <w:rPr>
          <w:lang w:val="en-GB"/>
        </w:rPr>
        <w:t>a</w:t>
      </w:r>
      <w:r w:rsidRPr="003D4225">
        <w:rPr>
          <w:lang w:val="en-GB"/>
        </w:rPr>
        <w:t>; Bliss et al., 2018; Fenn et al., 2017). Other studies (e.g. Grijalva-Eternod et al., 2018; Sibson et al., Houngbe et al. (2017) did however not find any impact of CVA on children’s risk of being wasted, even though the interventions consistently contributed to improved household food security and dietary diversity</w:t>
      </w:r>
      <w:r w:rsidRPr="003D4225">
        <w:rPr>
          <w:rStyle w:val="FootnoteReference"/>
          <w:lang w:val="en-GB"/>
        </w:rPr>
        <w:footnoteReference w:id="15"/>
      </w:r>
      <w:r w:rsidRPr="003D4225">
        <w:rPr>
          <w:lang w:val="en-GB"/>
        </w:rPr>
        <w:t>. Despite the lack of documented impact in some studies, Fenn (2017) concludes that there is</w:t>
      </w:r>
      <w:r>
        <w:rPr>
          <w:lang w:val="en-GB"/>
        </w:rPr>
        <w:t xml:space="preserve"> a</w:t>
      </w:r>
      <w:r w:rsidRPr="003D4225">
        <w:rPr>
          <w:lang w:val="en-GB"/>
        </w:rPr>
        <w:t xml:space="preserve"> limited but growing number of studies with statistically significant results showing positive impacts </w:t>
      </w:r>
      <w:r>
        <w:rPr>
          <w:lang w:val="en-GB"/>
        </w:rPr>
        <w:t xml:space="preserve">of CVA </w:t>
      </w:r>
      <w:r w:rsidRPr="003D4225">
        <w:rPr>
          <w:lang w:val="en-GB"/>
        </w:rPr>
        <w:t xml:space="preserve">on </w:t>
      </w:r>
      <w:r>
        <w:rPr>
          <w:lang w:val="en-GB"/>
        </w:rPr>
        <w:t>the</w:t>
      </w:r>
      <w:r w:rsidRPr="003D4225">
        <w:rPr>
          <w:lang w:val="en-GB"/>
        </w:rPr>
        <w:t xml:space="preserve"> risk of wast</w:t>
      </w:r>
      <w:r>
        <w:rPr>
          <w:lang w:val="en-GB"/>
        </w:rPr>
        <w:t>ing among children between six and 59 months</w:t>
      </w:r>
      <w:r w:rsidRPr="003D4225">
        <w:rPr>
          <w:lang w:val="en-GB"/>
        </w:rPr>
        <w:t xml:space="preserve"> in both emergency and development programmes.</w:t>
      </w:r>
    </w:p>
    <w:p w14:paraId="401750E8" w14:textId="77777777" w:rsidR="00034937" w:rsidRPr="003D4225" w:rsidRDefault="00034937" w:rsidP="00034937">
      <w:pPr>
        <w:rPr>
          <w:lang w:val="en-GB"/>
        </w:rPr>
      </w:pPr>
      <w:r w:rsidRPr="003D4225">
        <w:rPr>
          <w:lang w:val="en-GB"/>
        </w:rPr>
        <w:t xml:space="preserve">As compared to wasting, the evidence base for the impact of CVA on </w:t>
      </w:r>
      <w:r w:rsidRPr="003D4225">
        <w:rPr>
          <w:i/>
          <w:iCs/>
          <w:lang w:val="en-GB"/>
        </w:rPr>
        <w:t>stunting</w:t>
      </w:r>
      <w:r w:rsidRPr="003D4225">
        <w:rPr>
          <w:lang w:val="en-GB"/>
        </w:rPr>
        <w:t xml:space="preserve"> is stronger, particularly in development settings. </w:t>
      </w:r>
      <w:proofErr w:type="spellStart"/>
      <w:r w:rsidRPr="003D4225">
        <w:rPr>
          <w:lang w:val="en-GB"/>
        </w:rPr>
        <w:t>Bastagli</w:t>
      </w:r>
      <w:proofErr w:type="spellEnd"/>
      <w:r w:rsidRPr="003D4225">
        <w:rPr>
          <w:lang w:val="en-GB"/>
        </w:rPr>
        <w:t xml:space="preserve"> et al. (2016) found statistically significant positive changes in anthropometric outcomes for stunting in 5 out of 13 studies. More recent studies also documented statistically significant impacts of CVA on stunting in both development (Ahmed et al. in Bangladesh) and humanitarian settings</w:t>
      </w:r>
      <w:r w:rsidRPr="00B24E1A">
        <w:t xml:space="preserve">. Fenn et al. </w:t>
      </w:r>
      <w:r w:rsidRPr="003D4225">
        <w:rPr>
          <w:lang w:val="en-GB"/>
        </w:rPr>
        <w:t>(2017) in Pakistan looked at the effectiveness of different CVA modalities (single cash, double cash</w:t>
      </w:r>
      <w:r w:rsidRPr="003D4225">
        <w:rPr>
          <w:rStyle w:val="FootnoteReference"/>
          <w:lang w:val="en-GB"/>
        </w:rPr>
        <w:footnoteReference w:id="16"/>
      </w:r>
      <w:r w:rsidRPr="003D4225">
        <w:rPr>
          <w:lang w:val="en-GB"/>
        </w:rPr>
        <w:t xml:space="preserve">, fresh food vouchers) on nutrition outcomes. They found that all three modalities reduced stunting (increased mean </w:t>
      </w:r>
      <w:r>
        <w:rPr>
          <w:lang w:val="en-GB"/>
        </w:rPr>
        <w:t>height-for-age score (</w:t>
      </w:r>
      <w:r w:rsidRPr="003D4225">
        <w:rPr>
          <w:lang w:val="en-GB"/>
        </w:rPr>
        <w:t>HAZ</w:t>
      </w:r>
      <w:r>
        <w:rPr>
          <w:lang w:val="en-GB"/>
        </w:rPr>
        <w:t>)</w:t>
      </w:r>
      <w:r w:rsidRPr="003D4225">
        <w:rPr>
          <w:lang w:val="en-GB"/>
        </w:rPr>
        <w:t xml:space="preserve">) at both 6 months and 12 months of follow up, but only double cash had an impact on wasting and only at 6 </w:t>
      </w:r>
      <w:proofErr w:type="gramStart"/>
      <w:r w:rsidRPr="003D4225">
        <w:rPr>
          <w:lang w:val="en-GB"/>
        </w:rPr>
        <w:t>month</w:t>
      </w:r>
      <w:proofErr w:type="gramEnd"/>
      <w:r w:rsidRPr="003D4225">
        <w:rPr>
          <w:lang w:val="en-GB"/>
        </w:rPr>
        <w:t xml:space="preserve"> of follow up. Fenn (2017) concludes that there is growing number of studies with statistically significant results showing positive impacts on the HAZ score.</w:t>
      </w:r>
    </w:p>
    <w:p w14:paraId="598797B7" w14:textId="77777777" w:rsidR="00034937" w:rsidRPr="003D4225" w:rsidRDefault="00034937" w:rsidP="00034937">
      <w:pPr>
        <w:rPr>
          <w:lang w:val="en-GB"/>
        </w:rPr>
      </w:pPr>
      <w:r w:rsidRPr="003D4225">
        <w:rPr>
          <w:lang w:val="en-GB"/>
        </w:rPr>
        <w:t xml:space="preserve">The evidence of statistically significant improvements in underweight is more limited than measures for wasting and stunting and evidence in improving micronutrient status is inconsistent (Fenn, 2017). </w:t>
      </w:r>
    </w:p>
    <w:p w14:paraId="41D4339A" w14:textId="77777777" w:rsidR="00034937" w:rsidRPr="003D4225" w:rsidRDefault="00034937" w:rsidP="00034937">
      <w:pPr>
        <w:rPr>
          <w:lang w:val="en-GB"/>
        </w:rPr>
      </w:pPr>
    </w:p>
    <w:p w14:paraId="04CC78E9" w14:textId="77777777" w:rsidR="00034937" w:rsidRPr="003D4225" w:rsidRDefault="00034937" w:rsidP="00034937">
      <w:pPr>
        <w:rPr>
          <w:b/>
          <w:bCs/>
          <w:i/>
          <w:iCs/>
          <w:lang w:val="en-GB"/>
        </w:rPr>
      </w:pPr>
      <w:r w:rsidRPr="003D4225">
        <w:rPr>
          <w:b/>
          <w:bCs/>
          <w:i/>
          <w:iCs/>
          <w:lang w:val="en-GB"/>
        </w:rPr>
        <w:t>Immediate determinants of maternal and child nutrition</w:t>
      </w:r>
    </w:p>
    <w:p w14:paraId="33472D94" w14:textId="77777777" w:rsidR="00034937" w:rsidRPr="003D4225" w:rsidRDefault="00034937" w:rsidP="00034937">
      <w:pPr>
        <w:rPr>
          <w:lang w:val="en-GB"/>
        </w:rPr>
      </w:pPr>
      <w:r w:rsidRPr="003D4225">
        <w:rPr>
          <w:lang w:val="en-GB"/>
        </w:rPr>
        <w:t xml:space="preserve">As remarked previously, CVA does usually not directly act upon the immediate determinants but does so indirectly through the underlying determinants. The evidence base for the impact of CVA on the dietary intake of children and women is less robust compared to the evidence at household level. Nevertheless, there is growing evidence that CVA often leads to an increase in </w:t>
      </w:r>
      <w:r w:rsidRPr="003D4225">
        <w:rPr>
          <w:i/>
          <w:iCs/>
          <w:lang w:val="en-GB"/>
        </w:rPr>
        <w:t>expenditure on food for children</w:t>
      </w:r>
      <w:r w:rsidRPr="003D4225">
        <w:rPr>
          <w:rStyle w:val="FootnoteReference"/>
          <w:i/>
          <w:iCs/>
          <w:lang w:val="en-GB"/>
        </w:rPr>
        <w:footnoteReference w:id="17"/>
      </w:r>
      <w:r w:rsidRPr="003D4225">
        <w:rPr>
          <w:lang w:val="en-GB"/>
        </w:rPr>
        <w:t xml:space="preserve"> and </w:t>
      </w:r>
      <w:r w:rsidRPr="003D4225">
        <w:rPr>
          <w:lang w:val="en-GB"/>
        </w:rPr>
        <w:lastRenderedPageBreak/>
        <w:t xml:space="preserve">to improvements in the </w:t>
      </w:r>
      <w:r w:rsidRPr="003D4225">
        <w:rPr>
          <w:i/>
          <w:iCs/>
          <w:lang w:val="en-GB"/>
        </w:rPr>
        <w:t>dietary diversity of children (and women)</w:t>
      </w:r>
      <w:r w:rsidRPr="003D4225">
        <w:rPr>
          <w:lang w:val="en-GB"/>
        </w:rPr>
        <w:t xml:space="preserve"> in both development and humanitarian settings (see for example Fenn et al., 2014; Fenn et al., 2017; Grijalva-Eternod et al., 2018; Kurdi et al., 2019</w:t>
      </w:r>
      <w:r>
        <w:rPr>
          <w:lang w:val="en-GB"/>
        </w:rPr>
        <w:t>a</w:t>
      </w:r>
      <w:r w:rsidRPr="003D4225">
        <w:rPr>
          <w:lang w:val="en-GB"/>
        </w:rPr>
        <w:t xml:space="preserve">; OPM, 2019). </w:t>
      </w:r>
    </w:p>
    <w:p w14:paraId="4CAC63AD" w14:textId="77777777" w:rsidR="00034937" w:rsidRDefault="00034937" w:rsidP="00034937">
      <w:pPr>
        <w:rPr>
          <w:lang w:val="en-GB"/>
        </w:rPr>
      </w:pPr>
      <w:r w:rsidRPr="003D4225">
        <w:rPr>
          <w:lang w:val="en-GB"/>
        </w:rPr>
        <w:t xml:space="preserve">There is very limited evidence on the impact of CVA on treatment of child illness (Fenn, 2017).  CVA can increase the uptake of health services, which is likely to improve the health of children thus resulting in reduced perceived need for treatment. </w:t>
      </w:r>
      <w:proofErr w:type="gramStart"/>
      <w:r w:rsidRPr="00FA3EC0">
        <w:rPr>
          <w:lang w:val="en-GB"/>
        </w:rPr>
        <w:t>A number of</w:t>
      </w:r>
      <w:proofErr w:type="gramEnd"/>
      <w:r w:rsidRPr="00FA3EC0">
        <w:rPr>
          <w:lang w:val="en-GB"/>
        </w:rPr>
        <w:t xml:space="preserve"> organisations have begun to use </w:t>
      </w:r>
      <w:r>
        <w:rPr>
          <w:lang w:val="en-GB"/>
        </w:rPr>
        <w:t xml:space="preserve">service </w:t>
      </w:r>
      <w:r w:rsidRPr="00FA3EC0">
        <w:rPr>
          <w:lang w:val="en-GB"/>
        </w:rPr>
        <w:t>vouchers to enable access to reproductive, maternal and new-born care services</w:t>
      </w:r>
      <w:r>
        <w:rPr>
          <w:lang w:val="en-GB"/>
        </w:rPr>
        <w:t xml:space="preserve"> as well as treatment of child illness</w:t>
      </w:r>
      <w:r w:rsidRPr="00FA3EC0">
        <w:rPr>
          <w:lang w:val="en-GB"/>
        </w:rPr>
        <w:t xml:space="preserve"> in</w:t>
      </w:r>
      <w:r>
        <w:rPr>
          <w:lang w:val="en-GB"/>
        </w:rPr>
        <w:t xml:space="preserve"> humanitarian settings. </w:t>
      </w:r>
      <w:proofErr w:type="spellStart"/>
      <w:r w:rsidRPr="003D4225">
        <w:rPr>
          <w:lang w:val="en-GB"/>
        </w:rPr>
        <w:t>Grellety</w:t>
      </w:r>
      <w:proofErr w:type="spellEnd"/>
      <w:r w:rsidRPr="003D4225">
        <w:rPr>
          <w:lang w:val="en-GB"/>
        </w:rPr>
        <w:t xml:space="preserve"> et al. (2017) studied the impact of cash transfers provided alongside the treatment of children with </w:t>
      </w:r>
      <w:r>
        <w:rPr>
          <w:lang w:val="en-GB"/>
        </w:rPr>
        <w:t>severe acute malnutrition (</w:t>
      </w:r>
      <w:r w:rsidRPr="003D4225">
        <w:rPr>
          <w:lang w:val="en-GB"/>
        </w:rPr>
        <w:t>SAM</w:t>
      </w:r>
      <w:r>
        <w:rPr>
          <w:lang w:val="en-GB"/>
        </w:rPr>
        <w:t>)</w:t>
      </w:r>
      <w:r w:rsidRPr="003D4225">
        <w:rPr>
          <w:lang w:val="en-GB"/>
        </w:rPr>
        <w:t xml:space="preserve"> in the</w:t>
      </w:r>
      <w:r>
        <w:rPr>
          <w:lang w:val="en-GB"/>
        </w:rPr>
        <w:t xml:space="preserve"> Democratic Republic of the Congo</w:t>
      </w:r>
      <w:r w:rsidRPr="003D4225">
        <w:rPr>
          <w:lang w:val="en-GB"/>
        </w:rPr>
        <w:t xml:space="preserve"> </w:t>
      </w:r>
      <w:r>
        <w:rPr>
          <w:lang w:val="en-GB"/>
        </w:rPr>
        <w:t>(</w:t>
      </w:r>
      <w:r w:rsidRPr="003D4225">
        <w:rPr>
          <w:lang w:val="en-GB"/>
        </w:rPr>
        <w:t>DRC</w:t>
      </w:r>
      <w:r>
        <w:rPr>
          <w:lang w:val="en-GB"/>
        </w:rPr>
        <w:t>)</w:t>
      </w:r>
      <w:r w:rsidRPr="003D4225">
        <w:rPr>
          <w:lang w:val="en-GB"/>
        </w:rPr>
        <w:t>. They found that children in households that received cash transfers gained weight faster, were more likely to recover from SAM and less likely to default or fail to respond to treatment compared with children in the control group.</w:t>
      </w:r>
    </w:p>
    <w:p w14:paraId="0C78C6AE" w14:textId="77777777" w:rsidR="00034937" w:rsidRPr="003D4225" w:rsidRDefault="00034937" w:rsidP="00034937">
      <w:pPr>
        <w:rPr>
          <w:b/>
          <w:bCs/>
          <w:i/>
          <w:iCs/>
          <w:lang w:val="en-GB"/>
        </w:rPr>
      </w:pPr>
    </w:p>
    <w:p w14:paraId="106ACB18" w14:textId="77777777" w:rsidR="00034937" w:rsidRPr="003D4225" w:rsidRDefault="00034937" w:rsidP="00034937">
      <w:pPr>
        <w:rPr>
          <w:b/>
          <w:bCs/>
          <w:i/>
          <w:iCs/>
          <w:lang w:val="en-GB"/>
        </w:rPr>
      </w:pPr>
      <w:r w:rsidRPr="003D4225">
        <w:rPr>
          <w:b/>
          <w:bCs/>
          <w:i/>
          <w:iCs/>
          <w:lang w:val="en-GB"/>
        </w:rPr>
        <w:t>Underlying determinants of maternal and child nutrition</w:t>
      </w:r>
    </w:p>
    <w:p w14:paraId="6BFE0EF0" w14:textId="77777777" w:rsidR="00034937" w:rsidRPr="003D4225" w:rsidRDefault="00034937" w:rsidP="00034937">
      <w:pPr>
        <w:rPr>
          <w:lang w:val="en-GB"/>
        </w:rPr>
      </w:pPr>
      <w:r w:rsidRPr="003D4225">
        <w:rPr>
          <w:lang w:val="en-GB"/>
        </w:rPr>
        <w:t xml:space="preserve">There is strong evidence from both development and humanitarian settings suggesting that CVA consistently increases </w:t>
      </w:r>
      <w:r w:rsidRPr="003D4225">
        <w:rPr>
          <w:i/>
          <w:iCs/>
          <w:lang w:val="en-GB"/>
        </w:rPr>
        <w:t>household</w:t>
      </w:r>
      <w:r w:rsidRPr="003D4225">
        <w:rPr>
          <w:lang w:val="en-GB"/>
        </w:rPr>
        <w:t xml:space="preserve"> </w:t>
      </w:r>
      <w:r w:rsidRPr="003D4225">
        <w:rPr>
          <w:i/>
          <w:iCs/>
          <w:lang w:val="en-GB"/>
        </w:rPr>
        <w:t>food expenditure</w:t>
      </w:r>
      <w:r w:rsidRPr="003D4225">
        <w:rPr>
          <w:lang w:val="en-GB"/>
        </w:rPr>
        <w:t xml:space="preserve"> and improves </w:t>
      </w:r>
      <w:r w:rsidRPr="003D4225">
        <w:rPr>
          <w:i/>
          <w:iCs/>
          <w:lang w:val="en-GB"/>
        </w:rPr>
        <w:t>household food consumption</w:t>
      </w:r>
      <w:r w:rsidRPr="003D4225">
        <w:rPr>
          <w:lang w:val="en-GB"/>
        </w:rPr>
        <w:t xml:space="preserve"> and </w:t>
      </w:r>
      <w:r w:rsidRPr="003D4225">
        <w:rPr>
          <w:i/>
          <w:iCs/>
          <w:lang w:val="en-GB"/>
        </w:rPr>
        <w:t>household dietary diversity</w:t>
      </w:r>
      <w:r w:rsidRPr="003D4225">
        <w:rPr>
          <w:lang w:val="en-GB"/>
        </w:rPr>
        <w:t xml:space="preserve"> (Fenn, 2017; </w:t>
      </w:r>
      <w:proofErr w:type="spellStart"/>
      <w:r w:rsidRPr="003D4225">
        <w:rPr>
          <w:lang w:val="en-GB"/>
        </w:rPr>
        <w:t>Bastagli</w:t>
      </w:r>
      <w:proofErr w:type="spellEnd"/>
      <w:r w:rsidRPr="003D4225">
        <w:rPr>
          <w:lang w:val="en-GB"/>
        </w:rPr>
        <w:t xml:space="preserve"> et al., 2016; REFANI, 2015; de Groot et al., 2015; Manley et al., 2013; Bailey et al., 2012;). There is </w:t>
      </w:r>
      <w:r>
        <w:rPr>
          <w:lang w:val="en-GB"/>
        </w:rPr>
        <w:t xml:space="preserve">an </w:t>
      </w:r>
      <w:r w:rsidRPr="003D4225">
        <w:rPr>
          <w:lang w:val="en-GB"/>
        </w:rPr>
        <w:t xml:space="preserve">ongoing debate </w:t>
      </w:r>
      <w:r>
        <w:rPr>
          <w:lang w:val="en-GB"/>
        </w:rPr>
        <w:t>on whether</w:t>
      </w:r>
      <w:r w:rsidRPr="003D4225">
        <w:rPr>
          <w:lang w:val="en-GB"/>
        </w:rPr>
        <w:t xml:space="preserve"> cash transfers or vouchers are better suited to improve household food security and how this compares with in-kind food assistance. In general, CVA may be </w:t>
      </w:r>
      <w:r>
        <w:rPr>
          <w:lang w:val="en-GB"/>
        </w:rPr>
        <w:t xml:space="preserve">more effective </w:t>
      </w:r>
      <w:r w:rsidRPr="003D4225">
        <w:rPr>
          <w:lang w:val="en-GB"/>
        </w:rPr>
        <w:t xml:space="preserve">than food transfers for improving dietary diversity while food transfers may </w:t>
      </w:r>
      <w:r>
        <w:rPr>
          <w:lang w:val="en-GB"/>
        </w:rPr>
        <w:t>more effective</w:t>
      </w:r>
      <w:r w:rsidRPr="003D4225">
        <w:rPr>
          <w:lang w:val="en-GB"/>
        </w:rPr>
        <w:t xml:space="preserve"> than CVA at increasing caloric intake (Fenn, 2017; Bailey, 2013). However, as </w:t>
      </w:r>
      <w:proofErr w:type="spellStart"/>
      <w:r w:rsidRPr="003D4225">
        <w:rPr>
          <w:lang w:val="en-GB"/>
        </w:rPr>
        <w:t>Gentilini</w:t>
      </w:r>
      <w:proofErr w:type="spellEnd"/>
      <w:r w:rsidRPr="003D4225">
        <w:rPr>
          <w:lang w:val="en-GB"/>
        </w:rPr>
        <w:t xml:space="preserve"> (2016) points out, the relative effectiveness of different transfer modalities cannot be generalized and although some differences emerge in terms of food consumption and dietary diversity, average impacts tend to depend on context, programme objectives and design.</w:t>
      </w:r>
    </w:p>
    <w:p w14:paraId="0C900860" w14:textId="77777777" w:rsidR="00034937" w:rsidRPr="003D4225" w:rsidRDefault="00034937" w:rsidP="00034937">
      <w:pPr>
        <w:rPr>
          <w:lang w:val="en-GB"/>
        </w:rPr>
      </w:pPr>
      <w:r w:rsidRPr="003D4225">
        <w:rPr>
          <w:lang w:val="en-GB"/>
        </w:rPr>
        <w:t xml:space="preserve">Evidence from development settings seems to suggest that cash transfers, both conditional and unconditional, can improve </w:t>
      </w:r>
      <w:r w:rsidRPr="003D4225">
        <w:rPr>
          <w:i/>
          <w:iCs/>
          <w:lang w:val="en-GB"/>
        </w:rPr>
        <w:t>uptake in preventative health services</w:t>
      </w:r>
      <w:r w:rsidRPr="003D4225">
        <w:rPr>
          <w:lang w:val="en-GB"/>
        </w:rPr>
        <w:t xml:space="preserve">. </w:t>
      </w:r>
      <w:proofErr w:type="spellStart"/>
      <w:r w:rsidRPr="003D4225">
        <w:rPr>
          <w:lang w:val="en-GB"/>
        </w:rPr>
        <w:t>Bastagli</w:t>
      </w:r>
      <w:proofErr w:type="spellEnd"/>
      <w:r w:rsidRPr="003D4225">
        <w:rPr>
          <w:lang w:val="en-GB"/>
        </w:rPr>
        <w:t xml:space="preserve"> et al. (2016) reviewed 15 studies reporting overall effects on the use of health facilities and services, of which nine report statistically significant increases. Furthermore, three studies tested the effect of conditionalities, two finding that conditions on attending health visits led to a higher number of visits compared to transfers with no conditions. The evidence from humanitarian settings is much more limited. A study in Somalia (UCL and Concern, 2020) found that conditional cash transfers were associated with a strong and significant increase in the odds of vaccination, thus supporting the finding from other studies that conditional cash transfers may be better suited to promote health seeking behaviour than unconditional transfers. On the other hand, a study in Mali (Le Pont et al., 2019) did not find any evidence for the incentive value of conditional cash transfers. </w:t>
      </w:r>
    </w:p>
    <w:p w14:paraId="0C9DEFAB" w14:textId="77777777" w:rsidR="00034937" w:rsidRPr="003D4225" w:rsidRDefault="00034937" w:rsidP="00034937">
      <w:pPr>
        <w:rPr>
          <w:lang w:val="en-GB"/>
        </w:rPr>
      </w:pPr>
      <w:r w:rsidRPr="003D4225">
        <w:rPr>
          <w:lang w:val="en-GB"/>
        </w:rPr>
        <w:lastRenderedPageBreak/>
        <w:t xml:space="preserve">There is limited evidence on the impact of CVA on </w:t>
      </w:r>
      <w:r w:rsidRPr="003D4225">
        <w:rPr>
          <w:i/>
          <w:iCs/>
          <w:lang w:val="en-GB"/>
        </w:rPr>
        <w:t>Water, Sanitation and Hygiene</w:t>
      </w:r>
      <w:r w:rsidRPr="003D4225">
        <w:rPr>
          <w:lang w:val="en-GB"/>
        </w:rPr>
        <w:t xml:space="preserve"> (WASH) as experiences on using CVA for WASH outcomes are only emerging. However, there is emerging evidence that CVA modalities have a positive effect on access to water, sanitation and hygiene items (GWC, 2020). </w:t>
      </w:r>
    </w:p>
    <w:p w14:paraId="22002DB8" w14:textId="77777777" w:rsidR="00034937" w:rsidRPr="003D4225" w:rsidRDefault="00034937" w:rsidP="00034937">
      <w:pPr>
        <w:rPr>
          <w:lang w:val="en-GB"/>
        </w:rPr>
      </w:pPr>
      <w:r w:rsidRPr="003D4225">
        <w:rPr>
          <w:lang w:val="en-GB"/>
        </w:rPr>
        <w:t xml:space="preserve">There no evidence for the impact of CVA </w:t>
      </w:r>
      <w:r>
        <w:rPr>
          <w:lang w:val="en-GB"/>
        </w:rPr>
        <w:t xml:space="preserve">on </w:t>
      </w:r>
      <w:r w:rsidRPr="003D4225">
        <w:rPr>
          <w:lang w:val="en-GB"/>
        </w:rPr>
        <w:t xml:space="preserve">aspects of </w:t>
      </w:r>
      <w:r w:rsidRPr="003D4225">
        <w:rPr>
          <w:i/>
          <w:iCs/>
          <w:lang w:val="en-GB"/>
        </w:rPr>
        <w:t>care behaviours</w:t>
      </w:r>
      <w:r w:rsidRPr="003D4225">
        <w:rPr>
          <w:lang w:val="en-GB"/>
        </w:rPr>
        <w:t>, such as feeding behaviours and psychosocial care for child. Nonetheless, there is growing evidence that CVA can</w:t>
      </w:r>
      <w:r>
        <w:rPr>
          <w:lang w:val="en-GB"/>
        </w:rPr>
        <w:t xml:space="preserve"> contribute to positive</w:t>
      </w:r>
      <w:r w:rsidRPr="003D4225">
        <w:rPr>
          <w:lang w:val="en-GB"/>
        </w:rPr>
        <w:t xml:space="preserve"> </w:t>
      </w:r>
      <w:r w:rsidRPr="003C4CAA">
        <w:rPr>
          <w:i/>
          <w:iCs/>
          <w:lang w:val="en-GB"/>
        </w:rPr>
        <w:t>gender-based violence</w:t>
      </w:r>
      <w:r w:rsidRPr="003D4225">
        <w:rPr>
          <w:lang w:val="en-GB"/>
        </w:rPr>
        <w:t xml:space="preserve"> (GBV) outcomes, which might </w:t>
      </w:r>
      <w:r>
        <w:rPr>
          <w:lang w:val="en-GB"/>
        </w:rPr>
        <w:t>have a positive</w:t>
      </w:r>
      <w:r w:rsidRPr="003D4225">
        <w:rPr>
          <w:lang w:val="en-GB"/>
        </w:rPr>
        <w:t xml:space="preserve"> impact </w:t>
      </w:r>
      <w:r>
        <w:rPr>
          <w:lang w:val="en-GB"/>
        </w:rPr>
        <w:t xml:space="preserve">on </w:t>
      </w:r>
      <w:r w:rsidRPr="003D4225">
        <w:rPr>
          <w:lang w:val="en-GB"/>
        </w:rPr>
        <w:t>care behaviours. Cross et al. (2018) reviewed 28 studies related to CVA and GBV and found that the clear majority of CVA interventions (71</w:t>
      </w:r>
      <w:r>
        <w:rPr>
          <w:lang w:val="en-GB"/>
        </w:rPr>
        <w:t xml:space="preserve"> per cent</w:t>
      </w:r>
      <w:r w:rsidRPr="003D4225">
        <w:rPr>
          <w:lang w:val="en-GB"/>
        </w:rPr>
        <w:t>) had a positive impact on aspects of GBV, while only 4</w:t>
      </w:r>
      <w:r>
        <w:rPr>
          <w:lang w:val="en-GB"/>
        </w:rPr>
        <w:t xml:space="preserve"> per cent</w:t>
      </w:r>
      <w:r w:rsidRPr="003D4225">
        <w:rPr>
          <w:lang w:val="en-GB"/>
        </w:rPr>
        <w:t xml:space="preserve"> had a negative impact. The positive impact was concentrated in in intra-household decision-making and most interventions with positive impact on decision-making targeted women as beneficiaries. Beneficiaries felt improved joint decision-making and/ or increased bargaining power in their households following CVA.</w:t>
      </w:r>
    </w:p>
    <w:p w14:paraId="7BE6A0F7" w14:textId="77777777" w:rsidR="00034937" w:rsidRPr="003D4225" w:rsidRDefault="00034937" w:rsidP="00034937">
      <w:pPr>
        <w:rPr>
          <w:lang w:val="en-GB"/>
        </w:rPr>
      </w:pPr>
      <w:r w:rsidRPr="003D4225">
        <w:rPr>
          <w:lang w:val="en-GB"/>
        </w:rPr>
        <w:t xml:space="preserve">As for </w:t>
      </w:r>
      <w:r w:rsidRPr="003D4225">
        <w:rPr>
          <w:i/>
          <w:iCs/>
          <w:lang w:val="en-GB"/>
        </w:rPr>
        <w:t>intimate partner violence</w:t>
      </w:r>
      <w:r w:rsidRPr="003D4225">
        <w:rPr>
          <w:lang w:val="en-GB"/>
        </w:rPr>
        <w:t xml:space="preserve"> (IPV), Cross et al. (2018) found that eighty percent of the evidence indicates that the impact of CVA on IPV is positive. Positive results are mainly due to a reduction in income-related tension, frustration, and fighting. IPV tended to increase when there were not enough resources to meet basic needs, when there was unemployment, and when heads of households felt powerless to provide for their families. Also, they note that the most common positive spill-over effect </w:t>
      </w:r>
      <w:r>
        <w:rPr>
          <w:lang w:val="en-GB"/>
        </w:rPr>
        <w:t xml:space="preserve">from CVA cited </w:t>
      </w:r>
      <w:r w:rsidRPr="003D4225">
        <w:rPr>
          <w:lang w:val="en-GB"/>
        </w:rPr>
        <w:t>across the literature was psychosocial wellbeing of women receiving CVA. Little to no evidence was found on the impact of CVA on other aspects of GBV, such as early or forced marriage, asset ownership, or exposure to sexual harassment, exploitation or abuse.</w:t>
      </w:r>
    </w:p>
    <w:p w14:paraId="59BA1B9D" w14:textId="77777777" w:rsidR="00034937" w:rsidRPr="003D4225" w:rsidRDefault="00034937" w:rsidP="00034937">
      <w:pPr>
        <w:rPr>
          <w:lang w:val="en-GB"/>
        </w:rPr>
      </w:pPr>
      <w:r w:rsidRPr="003D4225">
        <w:rPr>
          <w:lang w:val="en-GB"/>
        </w:rPr>
        <w:t>Some programmes reviewed by Bailey et al. (2012) have shown that cash transfers reduced the time spent away from home and increased time for domestic activities, including caring for children.</w:t>
      </w:r>
    </w:p>
    <w:p w14:paraId="53C247DA" w14:textId="77777777" w:rsidR="00034937" w:rsidRPr="003D4225" w:rsidRDefault="00034937" w:rsidP="00034937">
      <w:pPr>
        <w:rPr>
          <w:lang w:val="en-GB"/>
        </w:rPr>
      </w:pPr>
    </w:p>
    <w:p w14:paraId="5F4B4CA9" w14:textId="77777777" w:rsidR="00034937" w:rsidRPr="003D4225" w:rsidRDefault="00034937" w:rsidP="00034937">
      <w:pPr>
        <w:rPr>
          <w:b/>
          <w:bCs/>
          <w:i/>
          <w:iCs/>
          <w:lang w:val="en-GB"/>
        </w:rPr>
      </w:pPr>
      <w:r>
        <w:rPr>
          <w:b/>
          <w:bCs/>
          <w:i/>
          <w:iCs/>
          <w:lang w:val="en-GB"/>
        </w:rPr>
        <w:t>The impact of p</w:t>
      </w:r>
      <w:r w:rsidRPr="003D4225">
        <w:rPr>
          <w:b/>
          <w:bCs/>
          <w:i/>
          <w:iCs/>
          <w:lang w:val="en-GB"/>
        </w:rPr>
        <w:t xml:space="preserve">rogramme design </w:t>
      </w:r>
      <w:r>
        <w:rPr>
          <w:b/>
          <w:bCs/>
          <w:i/>
          <w:iCs/>
          <w:lang w:val="en-GB"/>
        </w:rPr>
        <w:t>on nutrition outcomes</w:t>
      </w:r>
    </w:p>
    <w:p w14:paraId="66C8E0C2" w14:textId="77777777" w:rsidR="00034937" w:rsidRPr="003D4225" w:rsidRDefault="00034937" w:rsidP="00034937">
      <w:pPr>
        <w:rPr>
          <w:lang w:val="en-GB"/>
        </w:rPr>
      </w:pPr>
      <w:r w:rsidRPr="003D4225">
        <w:rPr>
          <w:lang w:val="en-GB"/>
        </w:rPr>
        <w:t xml:space="preserve">Studies from development contexts suggest that higher </w:t>
      </w:r>
      <w:r w:rsidRPr="003D4225">
        <w:rPr>
          <w:b/>
          <w:bCs/>
          <w:lang w:val="en-GB"/>
        </w:rPr>
        <w:t>transfer amounts</w:t>
      </w:r>
      <w:r w:rsidRPr="003D4225">
        <w:rPr>
          <w:lang w:val="en-GB"/>
        </w:rPr>
        <w:t xml:space="preserve"> showed positive effects on HAZ and </w:t>
      </w:r>
      <w:r>
        <w:rPr>
          <w:lang w:val="en-GB"/>
        </w:rPr>
        <w:t>weight-for-height score (</w:t>
      </w:r>
      <w:r w:rsidRPr="003D4225">
        <w:rPr>
          <w:lang w:val="en-GB"/>
        </w:rPr>
        <w:t>WHZ</w:t>
      </w:r>
      <w:r>
        <w:rPr>
          <w:lang w:val="en-GB"/>
        </w:rPr>
        <w:t>)</w:t>
      </w:r>
      <w:r w:rsidRPr="003D4225">
        <w:rPr>
          <w:lang w:val="en-GB"/>
        </w:rPr>
        <w:t xml:space="preserve"> and access to preventative health care. There is a consensus that the transfer amounts need to </w:t>
      </w:r>
      <w:r>
        <w:rPr>
          <w:lang w:val="en-GB"/>
        </w:rPr>
        <w:t>represent</w:t>
      </w:r>
      <w:r w:rsidRPr="003D4225">
        <w:rPr>
          <w:lang w:val="en-GB"/>
        </w:rPr>
        <w:t xml:space="preserve"> a significant contribution to the household economy (e.g. transfers of between 15% and 30% of the overall household expenditure) if it is to have an impact on nutritional status (Fenn, 2017). Only one study is looking at the impact of different transfer amounts on nutrition outcomes in humanitarian settings. Fenn et al. (2017) looked at the impact of four different interventions</w:t>
      </w:r>
      <w:r>
        <w:rPr>
          <w:lang w:val="en-GB"/>
        </w:rPr>
        <w:t xml:space="preserve"> in Pakistan</w:t>
      </w:r>
      <w:r w:rsidRPr="003D4225">
        <w:rPr>
          <w:lang w:val="en-GB"/>
        </w:rPr>
        <w:t xml:space="preserve"> (two different-sized unconditional grants, a fresh food voucher, and a control group</w:t>
      </w:r>
      <w:r>
        <w:rPr>
          <w:lang w:val="en-GB"/>
        </w:rPr>
        <w:t>)</w:t>
      </w:r>
      <w:r w:rsidRPr="003D4225">
        <w:rPr>
          <w:lang w:val="en-GB"/>
        </w:rPr>
        <w:t>. They found that the amount of cash given was important and only in the</w:t>
      </w:r>
      <w:r>
        <w:rPr>
          <w:lang w:val="en-GB"/>
        </w:rPr>
        <w:t xml:space="preserve"> group that received the higher amount</w:t>
      </w:r>
      <w:r w:rsidRPr="003D4225">
        <w:rPr>
          <w:lang w:val="en-GB"/>
        </w:rPr>
        <w:t xml:space="preserve"> were the odds of a child being wasted significantly lower compared to the control group. </w:t>
      </w:r>
    </w:p>
    <w:p w14:paraId="43636BDC" w14:textId="77777777" w:rsidR="00034937" w:rsidRDefault="00034937" w:rsidP="00034937">
      <w:pPr>
        <w:rPr>
          <w:lang w:val="en-GB"/>
        </w:rPr>
      </w:pPr>
      <w:r w:rsidRPr="003D4225">
        <w:rPr>
          <w:lang w:val="en-GB"/>
        </w:rPr>
        <w:t xml:space="preserve">In a study in Niger, Aker et al. (2014) compared the effect of </w:t>
      </w:r>
      <w:r w:rsidRPr="003D4225">
        <w:rPr>
          <w:b/>
          <w:bCs/>
          <w:lang w:val="en-GB"/>
        </w:rPr>
        <w:t>delivery mechanisms</w:t>
      </w:r>
      <w:r w:rsidRPr="003D4225">
        <w:rPr>
          <w:lang w:val="en-GB"/>
        </w:rPr>
        <w:t xml:space="preserve"> (the effect of mobile payment mechanisms compared to manual cash delivery) on household dietary diversity. The results suggest that mobile payments in Niger led to a statistically significant improvement in dietary diversity of around 16 percentage points. Also, households receiving mobile transfers consumed more meals per day. The authors attribute the results to two factors: </w:t>
      </w:r>
      <w:proofErr w:type="gramStart"/>
      <w:r w:rsidRPr="003D4225">
        <w:rPr>
          <w:lang w:val="en-GB"/>
        </w:rPr>
        <w:t>time-saving</w:t>
      </w:r>
      <w:proofErr w:type="gramEnd"/>
      <w:r w:rsidRPr="003D4225">
        <w:rPr>
          <w:lang w:val="en-GB"/>
        </w:rPr>
        <w:t xml:space="preserve"> (i.e. recipients spent less time traveling to and waiting for their transfer) and increased intra-household bargaining power of women who </w:t>
      </w:r>
      <w:r w:rsidRPr="003D4225">
        <w:rPr>
          <w:lang w:val="en-GB"/>
        </w:rPr>
        <w:lastRenderedPageBreak/>
        <w:t xml:space="preserve">received the mobile payments. Apart from the Niger study, there is no evidence to suggest that some delivery mechanisms are better suited to achieve nutrition outcomes than others. </w:t>
      </w:r>
    </w:p>
    <w:p w14:paraId="582DBAA6" w14:textId="77777777" w:rsidR="00034937" w:rsidRDefault="00034937" w:rsidP="00034937">
      <w:pPr>
        <w:rPr>
          <w:lang w:val="en-GB"/>
        </w:rPr>
      </w:pPr>
      <w:r w:rsidRPr="003D4225">
        <w:rPr>
          <w:lang w:val="en-GB"/>
        </w:rPr>
        <w:t xml:space="preserve">The determinants of malnutrition are often seasonal and are likely to change in response to shocks and disasters. Consequently, the </w:t>
      </w:r>
      <w:r w:rsidRPr="00E15FD4">
        <w:rPr>
          <w:b/>
          <w:bCs/>
          <w:lang w:val="en-GB"/>
        </w:rPr>
        <w:t>timeliness of initiation and duration</w:t>
      </w:r>
      <w:r w:rsidRPr="003D4225">
        <w:rPr>
          <w:lang w:val="en-GB"/>
        </w:rPr>
        <w:t xml:space="preserve"> of CVA are likely to be important factors affecting its ability to prevent undernutrition (REFANI, 2015).</w:t>
      </w:r>
      <w:r>
        <w:rPr>
          <w:lang w:val="en-GB"/>
        </w:rPr>
        <w:t xml:space="preserve"> </w:t>
      </w:r>
      <w:proofErr w:type="spellStart"/>
      <w:r w:rsidRPr="003D4225">
        <w:rPr>
          <w:lang w:val="en-GB"/>
        </w:rPr>
        <w:t>Bastagli</w:t>
      </w:r>
      <w:proofErr w:type="spellEnd"/>
      <w:r w:rsidRPr="003D4225">
        <w:rPr>
          <w:lang w:val="en-GB"/>
        </w:rPr>
        <w:t xml:space="preserve"> et al. (2016) identified seven studies that looked at the effect of the </w:t>
      </w:r>
      <w:r w:rsidRPr="00E15FD4">
        <w:rPr>
          <w:lang w:val="en-GB"/>
        </w:rPr>
        <w:t>duration</w:t>
      </w:r>
      <w:r w:rsidRPr="003D4225">
        <w:rPr>
          <w:lang w:val="en-GB"/>
        </w:rPr>
        <w:t xml:space="preserve"> of receipt in development settings, five of which found a significant improvement in child anthropometric measures and increasing use of health care due to a longer duration in a programme. </w:t>
      </w:r>
      <w:r>
        <w:rPr>
          <w:lang w:val="en-GB"/>
        </w:rPr>
        <w:t xml:space="preserve">As for timing, </w:t>
      </w:r>
      <w:r w:rsidRPr="003D4225">
        <w:rPr>
          <w:lang w:val="en-GB"/>
        </w:rPr>
        <w:t>Bailey (2008)</w:t>
      </w:r>
      <w:r>
        <w:rPr>
          <w:lang w:val="en-GB"/>
        </w:rPr>
        <w:t xml:space="preserve"> in a qualitative study in Niger observed that </w:t>
      </w:r>
      <w:r w:rsidRPr="003D4225">
        <w:rPr>
          <w:lang w:val="en-GB"/>
        </w:rPr>
        <w:t>cash given before or during the hungry season would be most likely spent on food whereas cash given at the end or after the hungry season would more likely be used for productive assets and paying off debts.</w:t>
      </w:r>
      <w:r>
        <w:rPr>
          <w:lang w:val="en-GB"/>
        </w:rPr>
        <w:t xml:space="preserve"> </w:t>
      </w:r>
      <w:hyperlink w:anchor="_Studies_that_cannot" w:history="1">
        <w:r w:rsidRPr="00E15FD4">
          <w:rPr>
            <w:rStyle w:val="Hyperlink"/>
            <w:lang w:val="en-GB"/>
          </w:rPr>
          <w:t xml:space="preserve">Sibson et al., </w:t>
        </w:r>
        <w:r>
          <w:rPr>
            <w:rStyle w:val="Hyperlink"/>
            <w:lang w:val="en-GB"/>
          </w:rPr>
          <w:t>(</w:t>
        </w:r>
        <w:r w:rsidRPr="00E15FD4">
          <w:rPr>
            <w:rStyle w:val="Hyperlink"/>
            <w:lang w:val="en-GB"/>
          </w:rPr>
          <w:t>2018</w:t>
        </w:r>
      </w:hyperlink>
      <w:r>
        <w:rPr>
          <w:lang w:val="en-GB"/>
        </w:rPr>
        <w:t xml:space="preserve">) in Niger </w:t>
      </w:r>
      <w:r w:rsidRPr="00027623">
        <w:rPr>
          <w:lang w:val="en-GB"/>
        </w:rPr>
        <w:t xml:space="preserve">compared the impact of two unconditional cash interventions </w:t>
      </w:r>
      <w:r>
        <w:rPr>
          <w:lang w:val="en-GB"/>
        </w:rPr>
        <w:t>where o</w:t>
      </w:r>
      <w:r w:rsidRPr="00027623">
        <w:rPr>
          <w:lang w:val="en-GB"/>
        </w:rPr>
        <w:t xml:space="preserve">ne group received four transfers </w:t>
      </w:r>
      <w:r>
        <w:rPr>
          <w:lang w:val="en-GB"/>
        </w:rPr>
        <w:t xml:space="preserve">during the ‘lean season’ </w:t>
      </w:r>
      <w:r w:rsidRPr="00027623">
        <w:rPr>
          <w:lang w:val="en-GB"/>
        </w:rPr>
        <w:t xml:space="preserve">between June and September and the other group six transfers </w:t>
      </w:r>
      <w:r>
        <w:rPr>
          <w:lang w:val="en-GB"/>
        </w:rPr>
        <w:t>which were initiated prior to the lean season</w:t>
      </w:r>
      <w:r w:rsidRPr="00027623">
        <w:rPr>
          <w:lang w:val="en-GB"/>
        </w:rPr>
        <w:t xml:space="preserve"> </w:t>
      </w:r>
      <w:r>
        <w:rPr>
          <w:lang w:val="en-GB"/>
        </w:rPr>
        <w:t>(</w:t>
      </w:r>
      <w:r w:rsidRPr="00027623">
        <w:rPr>
          <w:lang w:val="en-GB"/>
        </w:rPr>
        <w:t xml:space="preserve">April </w:t>
      </w:r>
      <w:r>
        <w:rPr>
          <w:lang w:val="en-GB"/>
        </w:rPr>
        <w:t xml:space="preserve">to </w:t>
      </w:r>
      <w:r w:rsidRPr="00027623">
        <w:rPr>
          <w:lang w:val="en-GB"/>
        </w:rPr>
        <w:t>September</w:t>
      </w:r>
      <w:r>
        <w:rPr>
          <w:lang w:val="en-GB"/>
        </w:rPr>
        <w:t>)</w:t>
      </w:r>
      <w:r w:rsidRPr="00027623">
        <w:rPr>
          <w:lang w:val="en-GB"/>
        </w:rPr>
        <w:t>. The cumulative amount of cash received by the groups was equal, i.e. FCFA</w:t>
      </w:r>
      <w:r>
        <w:rPr>
          <w:lang w:val="en-GB"/>
        </w:rPr>
        <w:t xml:space="preserve"> </w:t>
      </w:r>
      <w:r w:rsidRPr="00027623">
        <w:rPr>
          <w:lang w:val="en-GB"/>
        </w:rPr>
        <w:t xml:space="preserve">130,000 </w:t>
      </w:r>
      <w:r>
        <w:rPr>
          <w:lang w:val="en-GB"/>
        </w:rPr>
        <w:t>(approx. US$220)</w:t>
      </w:r>
      <w:r w:rsidRPr="00027623">
        <w:rPr>
          <w:lang w:val="en-GB"/>
        </w:rPr>
        <w:t xml:space="preserve">. They found no difference in the prevalence of GAM between the two interventions and no evidence that </w:t>
      </w:r>
      <w:r>
        <w:rPr>
          <w:lang w:val="en-GB"/>
        </w:rPr>
        <w:t xml:space="preserve">early initiation of assistance prior to the lean season </w:t>
      </w:r>
      <w:r w:rsidRPr="00027623">
        <w:rPr>
          <w:lang w:val="en-GB"/>
        </w:rPr>
        <w:t>would have a positive impact on children’s nutritional status.</w:t>
      </w:r>
      <w:r>
        <w:rPr>
          <w:lang w:val="en-GB"/>
        </w:rPr>
        <w:t xml:space="preserve"> </w:t>
      </w:r>
    </w:p>
    <w:p w14:paraId="6C445E15" w14:textId="3ABC7928" w:rsidR="00ED6DD3" w:rsidRPr="00513BF4" w:rsidRDefault="00034937" w:rsidP="00034937">
      <w:pPr>
        <w:rPr>
          <w:lang w:val="en-GB"/>
        </w:rPr>
      </w:pPr>
      <w:r>
        <w:rPr>
          <w:lang w:val="en-GB"/>
        </w:rPr>
        <w:t xml:space="preserve">As for the </w:t>
      </w:r>
      <w:r w:rsidRPr="002E226F">
        <w:rPr>
          <w:b/>
          <w:bCs/>
          <w:lang w:val="en-GB"/>
        </w:rPr>
        <w:t>frequency</w:t>
      </w:r>
      <w:r>
        <w:rPr>
          <w:lang w:val="en-GB"/>
        </w:rPr>
        <w:t xml:space="preserve"> of transfers, s</w:t>
      </w:r>
      <w:r w:rsidRPr="003D4225">
        <w:rPr>
          <w:lang w:val="en-GB"/>
        </w:rPr>
        <w:t>ome evidence from development settings suggests that regular payments (e.g. monthly) have a greater short-term impact on nutrition outcomes and the underlying causes of undernutrition, such as food expenditure, while less frequent and lump sum transfers are more likely to be invested in productive activities such as agricultural production (REFANI, 2015). Ecker et al. (2019) assess the mitigation effect of the national cash transfer program of the Social Welfare Fund on child malnutrition in Yemen. They found that the mitigation effect tends to be larger the more regular payments are received, as regular assistance allows beneficiary households to smooth their food consumption and other demands influencing child nutrition outcomes.</w:t>
      </w:r>
    </w:p>
    <w:p w14:paraId="69001EC2" w14:textId="77777777" w:rsidR="0005181B" w:rsidRPr="00513BF4" w:rsidRDefault="0005181B">
      <w:pPr>
        <w:rPr>
          <w:rFonts w:eastAsiaTheme="majorEastAsia" w:cstheme="majorBidi"/>
          <w:b/>
          <w:color w:val="91C93D"/>
          <w:sz w:val="28"/>
          <w:szCs w:val="32"/>
          <w:lang w:val="en-GB"/>
        </w:rPr>
      </w:pPr>
      <w:r w:rsidRPr="00513BF4">
        <w:rPr>
          <w:lang w:val="en-GB"/>
        </w:rPr>
        <w:br w:type="page"/>
      </w:r>
    </w:p>
    <w:p w14:paraId="6E0FD093" w14:textId="5CDEC388" w:rsidR="00ED6DD3" w:rsidRPr="00513BF4" w:rsidRDefault="00601496" w:rsidP="00F906B4">
      <w:pPr>
        <w:pStyle w:val="Heading1"/>
        <w:numPr>
          <w:ilvl w:val="0"/>
          <w:numId w:val="0"/>
        </w:numPr>
        <w:jc w:val="both"/>
        <w:rPr>
          <w:lang w:val="en-GB"/>
        </w:rPr>
      </w:pPr>
      <w:bookmarkStart w:id="15" w:name="_Toc46392146"/>
      <w:r w:rsidRPr="00513BF4">
        <w:rPr>
          <w:lang w:val="en-GB"/>
        </w:rPr>
        <w:lastRenderedPageBreak/>
        <w:t>Annex 3: Peer reviewed studies and operational examples from Somalia</w:t>
      </w:r>
      <w:bookmarkEnd w:id="15"/>
    </w:p>
    <w:p w14:paraId="2918179D" w14:textId="77777777" w:rsidR="00601496" w:rsidRPr="00513BF4" w:rsidRDefault="00601496" w:rsidP="00F906B4">
      <w:pPr>
        <w:jc w:val="both"/>
        <w:rPr>
          <w:sz w:val="20"/>
          <w:szCs w:val="20"/>
          <w:lang w:val="en-GB"/>
        </w:rPr>
      </w:pPr>
      <w:r w:rsidRPr="00513BF4">
        <w:rPr>
          <w:sz w:val="20"/>
          <w:szCs w:val="20"/>
          <w:lang w:val="en-GB"/>
        </w:rPr>
        <w:t xml:space="preserve">Peer reviewed studies are summarised in </w:t>
      </w:r>
      <w:r w:rsidRPr="00513BF4">
        <w:rPr>
          <w:sz w:val="20"/>
          <w:szCs w:val="20"/>
          <w:bdr w:val="single" w:sz="4" w:space="0" w:color="auto"/>
          <w:lang w:val="en-GB"/>
        </w:rPr>
        <w:t>green boxes</w:t>
      </w:r>
      <w:r w:rsidRPr="00513BF4">
        <w:rPr>
          <w:sz w:val="20"/>
          <w:szCs w:val="20"/>
          <w:lang w:val="en-GB"/>
        </w:rPr>
        <w:t xml:space="preserve"> and operational examples are in </w:t>
      </w:r>
      <w:r w:rsidRPr="00513BF4">
        <w:rPr>
          <w:sz w:val="20"/>
          <w:szCs w:val="20"/>
          <w:bdr w:val="single" w:sz="4" w:space="0" w:color="auto"/>
          <w:lang w:val="en-GB"/>
        </w:rPr>
        <w:t>orange boxes</w:t>
      </w:r>
      <w:r w:rsidRPr="00513BF4">
        <w:rPr>
          <w:sz w:val="20"/>
          <w:szCs w:val="20"/>
          <w:lang w:val="en-GB"/>
        </w:rPr>
        <w:t>.</w:t>
      </w:r>
    </w:p>
    <w:tbl>
      <w:tblPr>
        <w:tblStyle w:val="TableGrid"/>
        <w:tblW w:w="0" w:type="auto"/>
        <w:shd w:val="clear" w:color="auto" w:fill="E2EFD9" w:themeFill="accent6" w:themeFillTint="33"/>
        <w:tblLook w:val="04A0" w:firstRow="1" w:lastRow="0" w:firstColumn="1" w:lastColumn="0" w:noHBand="0" w:noVBand="1"/>
      </w:tblPr>
      <w:tblGrid>
        <w:gridCol w:w="4675"/>
        <w:gridCol w:w="4675"/>
      </w:tblGrid>
      <w:tr w:rsidR="00ED6DD3" w:rsidRPr="00513BF4" w14:paraId="7F40B061" w14:textId="77777777" w:rsidTr="00904F8F">
        <w:tc>
          <w:tcPr>
            <w:tcW w:w="9350" w:type="dxa"/>
            <w:gridSpan w:val="2"/>
            <w:shd w:val="clear" w:color="auto" w:fill="E2EFD9" w:themeFill="accent6" w:themeFillTint="33"/>
          </w:tcPr>
          <w:p w14:paraId="5BC7136A" w14:textId="77777777" w:rsidR="00ED6DD3" w:rsidRPr="00513BF4" w:rsidRDefault="00ED6DD3" w:rsidP="00F906B4">
            <w:pPr>
              <w:jc w:val="both"/>
              <w:rPr>
                <w:b/>
                <w:bCs/>
                <w:sz w:val="20"/>
                <w:szCs w:val="20"/>
                <w:lang w:val="en-GB"/>
              </w:rPr>
            </w:pPr>
            <w:r w:rsidRPr="00513BF4">
              <w:rPr>
                <w:b/>
                <w:bCs/>
                <w:sz w:val="20"/>
                <w:szCs w:val="20"/>
                <w:lang w:val="en-GB"/>
              </w:rPr>
              <w:t xml:space="preserve">Research: </w:t>
            </w:r>
            <w:r w:rsidRPr="00513BF4">
              <w:rPr>
                <w:sz w:val="20"/>
                <w:szCs w:val="20"/>
                <w:lang w:val="en-GB"/>
              </w:rPr>
              <w:t>A cash-based intervention and the risk of acute malnutrition in children aged 6–59 months living in internally displaced persons camps in Mogadishu, Somalia: A non-randomised cluster trial</w:t>
            </w:r>
          </w:p>
        </w:tc>
      </w:tr>
      <w:tr w:rsidR="00ED6DD3" w:rsidRPr="00513BF4" w14:paraId="5E4777B1" w14:textId="77777777" w:rsidTr="00904F8F">
        <w:tc>
          <w:tcPr>
            <w:tcW w:w="4675" w:type="dxa"/>
            <w:shd w:val="clear" w:color="auto" w:fill="E2EFD9" w:themeFill="accent6" w:themeFillTint="33"/>
          </w:tcPr>
          <w:p w14:paraId="6FBB8880" w14:textId="77777777" w:rsidR="00ED6DD3" w:rsidRPr="00513BF4" w:rsidRDefault="00ED6DD3" w:rsidP="00F906B4">
            <w:pPr>
              <w:jc w:val="both"/>
              <w:rPr>
                <w:b/>
                <w:bCs/>
                <w:sz w:val="20"/>
                <w:szCs w:val="20"/>
                <w:lang w:val="en-GB"/>
              </w:rPr>
            </w:pPr>
            <w:r w:rsidRPr="00513BF4">
              <w:rPr>
                <w:b/>
                <w:bCs/>
                <w:sz w:val="20"/>
                <w:szCs w:val="20"/>
                <w:lang w:val="en-GB"/>
              </w:rPr>
              <w:t xml:space="preserve">Authors: </w:t>
            </w:r>
            <w:hyperlink r:id="rId29" w:history="1">
              <w:r w:rsidRPr="00513BF4">
                <w:rPr>
                  <w:rStyle w:val="Hyperlink"/>
                  <w:sz w:val="20"/>
                  <w:szCs w:val="20"/>
                  <w:lang w:val="en-GB"/>
                </w:rPr>
                <w:t>Grijalva-Eternod</w:t>
              </w:r>
            </w:hyperlink>
            <w:r w:rsidRPr="00513BF4">
              <w:rPr>
                <w:sz w:val="20"/>
                <w:szCs w:val="20"/>
                <w:lang w:val="en-GB"/>
              </w:rPr>
              <w:t xml:space="preserve"> et al. (2018)</w:t>
            </w:r>
          </w:p>
        </w:tc>
        <w:tc>
          <w:tcPr>
            <w:tcW w:w="4675" w:type="dxa"/>
            <w:shd w:val="clear" w:color="auto" w:fill="E2EFD9" w:themeFill="accent6" w:themeFillTint="33"/>
          </w:tcPr>
          <w:p w14:paraId="08707BBB" w14:textId="77777777" w:rsidR="00ED6DD3" w:rsidRPr="00513BF4" w:rsidRDefault="00ED6DD3" w:rsidP="00F906B4">
            <w:pPr>
              <w:jc w:val="both"/>
              <w:rPr>
                <w:b/>
                <w:bCs/>
                <w:sz w:val="20"/>
                <w:szCs w:val="20"/>
                <w:lang w:val="en-GB"/>
              </w:rPr>
            </w:pPr>
            <w:r w:rsidRPr="00513BF4">
              <w:rPr>
                <w:b/>
                <w:bCs/>
                <w:sz w:val="20"/>
                <w:szCs w:val="20"/>
                <w:lang w:val="en-GB"/>
              </w:rPr>
              <w:t xml:space="preserve">Location: </w:t>
            </w:r>
            <w:r w:rsidRPr="00513BF4">
              <w:rPr>
                <w:sz w:val="20"/>
                <w:szCs w:val="20"/>
                <w:lang w:val="en-GB"/>
              </w:rPr>
              <w:t>Somalia, Mogadishu</w:t>
            </w:r>
          </w:p>
        </w:tc>
      </w:tr>
      <w:tr w:rsidR="00ED6DD3" w:rsidRPr="00513BF4" w14:paraId="676E6E02" w14:textId="77777777" w:rsidTr="00904F8F">
        <w:tc>
          <w:tcPr>
            <w:tcW w:w="9350" w:type="dxa"/>
            <w:gridSpan w:val="2"/>
            <w:shd w:val="clear" w:color="auto" w:fill="E2EFD9" w:themeFill="accent6" w:themeFillTint="33"/>
          </w:tcPr>
          <w:p w14:paraId="76C7BB6E" w14:textId="77777777" w:rsidR="00ED6DD3" w:rsidRPr="00513BF4" w:rsidRDefault="00ED6DD3" w:rsidP="00F906B4">
            <w:pPr>
              <w:jc w:val="both"/>
              <w:rPr>
                <w:b/>
                <w:bCs/>
                <w:sz w:val="20"/>
                <w:szCs w:val="20"/>
                <w:lang w:val="en-GB"/>
              </w:rPr>
            </w:pPr>
            <w:r w:rsidRPr="00513BF4">
              <w:rPr>
                <w:b/>
                <w:bCs/>
                <w:sz w:val="20"/>
                <w:szCs w:val="20"/>
                <w:lang w:val="en-GB"/>
              </w:rPr>
              <w:t xml:space="preserve">Intervention: </w:t>
            </w:r>
            <w:r w:rsidRPr="00513BF4">
              <w:rPr>
                <w:sz w:val="20"/>
                <w:szCs w:val="20"/>
                <w:lang w:val="en-GB"/>
              </w:rPr>
              <w:t>The study implemented a non-randomised cluster trial in IDP camps, located in peri-urban Mogadishu. The intervention group received a monthly unconditional cash transfer of US$84 for 5 months, a one-off distribution of a non-food-items kit, and the provision of piped water free of charge. The control group did not receive anything.</w:t>
            </w:r>
          </w:p>
        </w:tc>
      </w:tr>
      <w:tr w:rsidR="00ED6DD3" w:rsidRPr="00513BF4" w14:paraId="35714A91" w14:textId="77777777" w:rsidTr="00904F8F">
        <w:tc>
          <w:tcPr>
            <w:tcW w:w="9350" w:type="dxa"/>
            <w:gridSpan w:val="2"/>
            <w:shd w:val="clear" w:color="auto" w:fill="E2EFD9" w:themeFill="accent6" w:themeFillTint="33"/>
          </w:tcPr>
          <w:p w14:paraId="127F3718" w14:textId="77777777" w:rsidR="00ED6DD3" w:rsidRPr="00513BF4" w:rsidRDefault="00ED6DD3" w:rsidP="00F906B4">
            <w:pPr>
              <w:jc w:val="both"/>
              <w:rPr>
                <w:b/>
                <w:bCs/>
                <w:sz w:val="20"/>
                <w:szCs w:val="20"/>
                <w:lang w:val="en-GB"/>
              </w:rPr>
            </w:pPr>
            <w:r w:rsidRPr="00513BF4">
              <w:rPr>
                <w:b/>
                <w:bCs/>
                <w:sz w:val="20"/>
                <w:szCs w:val="20"/>
                <w:lang w:val="en-GB"/>
              </w:rPr>
              <w:t xml:space="preserve">Results: </w:t>
            </w:r>
            <w:r w:rsidRPr="00513BF4">
              <w:rPr>
                <w:sz w:val="20"/>
                <w:szCs w:val="20"/>
                <w:lang w:val="en-GB"/>
              </w:rPr>
              <w:t>Diet diversity appeared to improve in children from households receiving the cash transfers and an apparent improvement in diet and food security was also observed in their mothers or primary carers. However, the study did not observe an associated reduction in the risk of children becoming acutely malnourished in camps receiving cash transfers.</w:t>
            </w:r>
          </w:p>
        </w:tc>
      </w:tr>
      <w:tr w:rsidR="00ED6DD3" w:rsidRPr="00513BF4" w14:paraId="6803FA36" w14:textId="77777777" w:rsidTr="00904F8F">
        <w:tc>
          <w:tcPr>
            <w:tcW w:w="9350" w:type="dxa"/>
            <w:gridSpan w:val="2"/>
            <w:shd w:val="clear" w:color="auto" w:fill="E2EFD9" w:themeFill="accent6" w:themeFillTint="33"/>
          </w:tcPr>
          <w:p w14:paraId="56467504" w14:textId="6FC19222" w:rsidR="00ED6DD3" w:rsidRPr="00513BF4" w:rsidRDefault="00ED6DD3" w:rsidP="00F906B4">
            <w:pPr>
              <w:jc w:val="both"/>
              <w:rPr>
                <w:b/>
                <w:bCs/>
                <w:sz w:val="20"/>
                <w:szCs w:val="20"/>
                <w:lang w:val="en-GB"/>
              </w:rPr>
            </w:pPr>
            <w:r w:rsidRPr="00513BF4">
              <w:rPr>
                <w:b/>
                <w:bCs/>
                <w:sz w:val="20"/>
                <w:szCs w:val="20"/>
                <w:lang w:val="en-GB"/>
              </w:rPr>
              <w:t xml:space="preserve">Learning: </w:t>
            </w:r>
            <w:r w:rsidRPr="00513BF4">
              <w:rPr>
                <w:sz w:val="20"/>
                <w:szCs w:val="20"/>
                <w:lang w:val="en-GB"/>
              </w:rPr>
              <w:t>It is unclear why the intervention did not appear to reduce the risk of malnutrition in children. Future work is necessary to understand whether modifications to this intervention, such as adding specific nutritious foods or SBC, could positively affect its ability to prevent children from becoming acutely malnourished.</w:t>
            </w:r>
          </w:p>
        </w:tc>
      </w:tr>
    </w:tbl>
    <w:p w14:paraId="6F75244B" w14:textId="172D7A1E" w:rsidR="003A63DD" w:rsidRPr="00513BF4" w:rsidRDefault="003A63DD" w:rsidP="00F906B4">
      <w:pPr>
        <w:jc w:val="both"/>
        <w:rPr>
          <w:lang w:val="en-GB"/>
        </w:rPr>
      </w:pPr>
    </w:p>
    <w:tbl>
      <w:tblPr>
        <w:tblStyle w:val="TableGrid"/>
        <w:tblW w:w="0" w:type="auto"/>
        <w:shd w:val="clear" w:color="auto" w:fill="E2EFD9" w:themeFill="accent6" w:themeFillTint="33"/>
        <w:tblLook w:val="04A0" w:firstRow="1" w:lastRow="0" w:firstColumn="1" w:lastColumn="0" w:noHBand="0" w:noVBand="1"/>
      </w:tblPr>
      <w:tblGrid>
        <w:gridCol w:w="4675"/>
        <w:gridCol w:w="4675"/>
      </w:tblGrid>
      <w:tr w:rsidR="00B073A3" w:rsidRPr="00513BF4" w14:paraId="70A9ED9C" w14:textId="77777777" w:rsidTr="0032314B">
        <w:tc>
          <w:tcPr>
            <w:tcW w:w="9350" w:type="dxa"/>
            <w:gridSpan w:val="2"/>
            <w:shd w:val="clear" w:color="auto" w:fill="E2EFD9" w:themeFill="accent6" w:themeFillTint="33"/>
          </w:tcPr>
          <w:p w14:paraId="441B9181" w14:textId="77777777" w:rsidR="00B073A3" w:rsidRPr="00513BF4" w:rsidRDefault="00B073A3" w:rsidP="0032314B">
            <w:pPr>
              <w:jc w:val="both"/>
              <w:rPr>
                <w:b/>
                <w:bCs/>
                <w:sz w:val="20"/>
                <w:szCs w:val="20"/>
                <w:lang w:val="en-GB"/>
              </w:rPr>
            </w:pPr>
            <w:r w:rsidRPr="00513BF4">
              <w:rPr>
                <w:b/>
                <w:bCs/>
                <w:sz w:val="20"/>
                <w:szCs w:val="20"/>
                <w:lang w:val="en-GB"/>
              </w:rPr>
              <w:t xml:space="preserve">Research: </w:t>
            </w:r>
            <w:r w:rsidRPr="00513BF4">
              <w:rPr>
                <w:sz w:val="20"/>
                <w:szCs w:val="20"/>
                <w:lang w:val="en-GB"/>
              </w:rPr>
              <w:t>Cash and voucher assistance and children's nutrition status in Somalia</w:t>
            </w:r>
          </w:p>
        </w:tc>
      </w:tr>
      <w:tr w:rsidR="00B073A3" w:rsidRPr="00513BF4" w14:paraId="56C0E672" w14:textId="77777777" w:rsidTr="0032314B">
        <w:tc>
          <w:tcPr>
            <w:tcW w:w="4675" w:type="dxa"/>
            <w:shd w:val="clear" w:color="auto" w:fill="E2EFD9" w:themeFill="accent6" w:themeFillTint="33"/>
          </w:tcPr>
          <w:p w14:paraId="420D5B27" w14:textId="77777777" w:rsidR="00B073A3" w:rsidRPr="00513BF4" w:rsidRDefault="00B073A3" w:rsidP="0032314B">
            <w:pPr>
              <w:jc w:val="both"/>
              <w:rPr>
                <w:b/>
                <w:bCs/>
                <w:sz w:val="20"/>
                <w:szCs w:val="20"/>
                <w:lang w:val="en-GB"/>
              </w:rPr>
            </w:pPr>
            <w:r w:rsidRPr="00513BF4">
              <w:rPr>
                <w:b/>
                <w:bCs/>
                <w:sz w:val="20"/>
                <w:szCs w:val="20"/>
                <w:lang w:val="en-GB"/>
              </w:rPr>
              <w:t xml:space="preserve">Authors: </w:t>
            </w:r>
            <w:proofErr w:type="spellStart"/>
            <w:r w:rsidRPr="00513BF4">
              <w:rPr>
                <w:bCs/>
                <w:sz w:val="20"/>
                <w:szCs w:val="20"/>
                <w:lang w:val="en-GB"/>
              </w:rPr>
              <w:t>Doocy</w:t>
            </w:r>
            <w:proofErr w:type="spellEnd"/>
            <w:r w:rsidRPr="00513BF4">
              <w:rPr>
                <w:bCs/>
                <w:sz w:val="20"/>
                <w:szCs w:val="20"/>
                <w:lang w:val="en-GB"/>
              </w:rPr>
              <w:t xml:space="preserve"> et al. (2020a, 2020b)</w:t>
            </w:r>
          </w:p>
        </w:tc>
        <w:tc>
          <w:tcPr>
            <w:tcW w:w="4675" w:type="dxa"/>
            <w:shd w:val="clear" w:color="auto" w:fill="E2EFD9" w:themeFill="accent6" w:themeFillTint="33"/>
          </w:tcPr>
          <w:p w14:paraId="156ECD26" w14:textId="77777777" w:rsidR="00B073A3" w:rsidRPr="00513BF4" w:rsidRDefault="00B073A3" w:rsidP="0032314B">
            <w:pPr>
              <w:jc w:val="both"/>
              <w:rPr>
                <w:sz w:val="20"/>
                <w:szCs w:val="20"/>
                <w:lang w:val="en-GB"/>
              </w:rPr>
            </w:pPr>
            <w:r w:rsidRPr="00513BF4">
              <w:rPr>
                <w:b/>
                <w:bCs/>
                <w:sz w:val="20"/>
                <w:szCs w:val="20"/>
                <w:lang w:val="en-GB"/>
              </w:rPr>
              <w:t xml:space="preserve">Location: </w:t>
            </w:r>
            <w:r w:rsidRPr="00513BF4">
              <w:rPr>
                <w:sz w:val="20"/>
                <w:szCs w:val="20"/>
                <w:lang w:val="en-GB"/>
              </w:rPr>
              <w:t>Somalia</w:t>
            </w:r>
          </w:p>
        </w:tc>
      </w:tr>
      <w:tr w:rsidR="00B073A3" w:rsidRPr="00513BF4" w14:paraId="0B11517E" w14:textId="77777777" w:rsidTr="0032314B">
        <w:tc>
          <w:tcPr>
            <w:tcW w:w="9350" w:type="dxa"/>
            <w:gridSpan w:val="2"/>
            <w:shd w:val="clear" w:color="auto" w:fill="E2EFD9" w:themeFill="accent6" w:themeFillTint="33"/>
          </w:tcPr>
          <w:p w14:paraId="415593BB" w14:textId="77777777" w:rsidR="00B073A3" w:rsidRPr="00513BF4" w:rsidRDefault="00B073A3" w:rsidP="0032314B">
            <w:pPr>
              <w:jc w:val="both"/>
              <w:rPr>
                <w:sz w:val="20"/>
                <w:szCs w:val="20"/>
                <w:lang w:val="en-GB"/>
              </w:rPr>
            </w:pPr>
            <w:r w:rsidRPr="00513BF4">
              <w:rPr>
                <w:b/>
                <w:bCs/>
                <w:sz w:val="20"/>
                <w:szCs w:val="20"/>
                <w:lang w:val="en-GB"/>
              </w:rPr>
              <w:t xml:space="preserve">Intervention: </w:t>
            </w:r>
            <w:r w:rsidRPr="00513BF4">
              <w:rPr>
                <w:sz w:val="20"/>
                <w:szCs w:val="20"/>
                <w:lang w:val="en-GB"/>
              </w:rPr>
              <w:t xml:space="preserve">The study </w:t>
            </w:r>
            <w:r w:rsidRPr="00513BF4">
              <w:rPr>
                <w:bCs/>
                <w:sz w:val="20"/>
                <w:szCs w:val="20"/>
                <w:lang w:val="en-GB"/>
              </w:rPr>
              <w:t>examined the impact of CVA on prevention of child and maternal acute malnutrition in 2017/2018 in the context of the Somalia food crisis. Changes in diet and acute malnutrition were measured over a 4-month period among children age 6–59 months and pregnant and lactating women from households receiving household assistance of approximately US$450 (over 4 months) delivered either as food vouchers or a mix of in-kind food, vouchers, and cash.</w:t>
            </w:r>
          </w:p>
        </w:tc>
      </w:tr>
      <w:tr w:rsidR="00B073A3" w:rsidRPr="00513BF4" w14:paraId="0CB472B4" w14:textId="77777777" w:rsidTr="0032314B">
        <w:tc>
          <w:tcPr>
            <w:tcW w:w="9350" w:type="dxa"/>
            <w:gridSpan w:val="2"/>
            <w:shd w:val="clear" w:color="auto" w:fill="E2EFD9" w:themeFill="accent6" w:themeFillTint="33"/>
          </w:tcPr>
          <w:p w14:paraId="326FF91C" w14:textId="77777777" w:rsidR="00B073A3" w:rsidRPr="00513BF4" w:rsidRDefault="00B073A3" w:rsidP="0032314B">
            <w:pPr>
              <w:jc w:val="both"/>
              <w:rPr>
                <w:b/>
                <w:bCs/>
                <w:sz w:val="20"/>
                <w:szCs w:val="20"/>
                <w:lang w:val="en-GB"/>
              </w:rPr>
            </w:pPr>
            <w:r w:rsidRPr="00513BF4">
              <w:rPr>
                <w:b/>
                <w:bCs/>
                <w:sz w:val="20"/>
                <w:szCs w:val="20"/>
                <w:lang w:val="en-GB"/>
              </w:rPr>
              <w:t xml:space="preserve">Results: </w:t>
            </w:r>
            <w:r w:rsidRPr="00513BF4">
              <w:rPr>
                <w:sz w:val="20"/>
                <w:szCs w:val="20"/>
                <w:lang w:val="en-GB"/>
              </w:rPr>
              <w:t xml:space="preserve">The study found that household food security was similar for both intervention groups at </w:t>
            </w:r>
            <w:proofErr w:type="spellStart"/>
            <w:r w:rsidRPr="00513BF4">
              <w:rPr>
                <w:sz w:val="20"/>
                <w:szCs w:val="20"/>
                <w:lang w:val="en-GB"/>
              </w:rPr>
              <w:t>endline</w:t>
            </w:r>
            <w:proofErr w:type="spellEnd"/>
            <w:r w:rsidRPr="00513BF4">
              <w:rPr>
                <w:sz w:val="20"/>
                <w:szCs w:val="20"/>
                <w:lang w:val="en-GB"/>
              </w:rPr>
              <w:t xml:space="preserve">; however, households receiving mixed transfers consumed meals more frequently. Children in households receiving mixed transfers also had more diverse diets at the end of the study period; however, the magnitude of change in dietary diversity over the study period was similar for children in mixed transfers and vouchers. Acute malnutrition prevalence was higher among children in households that received vouchers at both baseline and </w:t>
            </w:r>
            <w:proofErr w:type="spellStart"/>
            <w:r w:rsidRPr="00513BF4">
              <w:rPr>
                <w:sz w:val="20"/>
                <w:szCs w:val="20"/>
                <w:lang w:val="en-GB"/>
              </w:rPr>
              <w:t>endline</w:t>
            </w:r>
            <w:proofErr w:type="spellEnd"/>
            <w:r w:rsidRPr="00513BF4">
              <w:rPr>
                <w:sz w:val="20"/>
                <w:szCs w:val="20"/>
                <w:lang w:val="en-GB"/>
              </w:rPr>
              <w:t>. The change over time in both mean MUAC and acute malnutrition prevalence was similar for both interventions, suggesting that mixed transfers and food vouchers had similar preventative effects on child nutrition status.</w:t>
            </w:r>
          </w:p>
        </w:tc>
      </w:tr>
      <w:tr w:rsidR="00B073A3" w:rsidRPr="00513BF4" w14:paraId="1C810E1D" w14:textId="77777777" w:rsidTr="0032314B">
        <w:tc>
          <w:tcPr>
            <w:tcW w:w="9350" w:type="dxa"/>
            <w:gridSpan w:val="2"/>
            <w:shd w:val="clear" w:color="auto" w:fill="E2EFD9" w:themeFill="accent6" w:themeFillTint="33"/>
          </w:tcPr>
          <w:p w14:paraId="01A11A78" w14:textId="77777777" w:rsidR="00B073A3" w:rsidRPr="00513BF4" w:rsidRDefault="00B073A3" w:rsidP="0032314B">
            <w:pPr>
              <w:jc w:val="both"/>
              <w:rPr>
                <w:b/>
                <w:bCs/>
                <w:sz w:val="20"/>
                <w:szCs w:val="20"/>
                <w:lang w:val="en-GB"/>
              </w:rPr>
            </w:pPr>
            <w:r w:rsidRPr="00513BF4">
              <w:rPr>
                <w:b/>
                <w:bCs/>
                <w:sz w:val="20"/>
                <w:szCs w:val="20"/>
                <w:lang w:val="en-GB"/>
              </w:rPr>
              <w:t xml:space="preserve">Learning: </w:t>
            </w:r>
            <w:r w:rsidRPr="00513BF4">
              <w:rPr>
                <w:bCs/>
                <w:sz w:val="20"/>
                <w:szCs w:val="20"/>
                <w:lang w:val="en-GB"/>
              </w:rPr>
              <w:t>Alongside other evidence regarding beneficiary preferences for cash and lower implementation costs compared with vouchers, evidence supports continuing use of cash and voucher assistance in Somalia and considering expanded use of cash transfers.</w:t>
            </w:r>
          </w:p>
        </w:tc>
      </w:tr>
    </w:tbl>
    <w:p w14:paraId="30B064B0" w14:textId="20D553EA" w:rsidR="00B073A3" w:rsidRDefault="00B073A3" w:rsidP="00F906B4">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CellMar>
          <w:left w:w="0" w:type="dxa"/>
          <w:right w:w="0" w:type="dxa"/>
        </w:tblCellMar>
        <w:tblLook w:val="04A0" w:firstRow="1" w:lastRow="0" w:firstColumn="1" w:lastColumn="0" w:noHBand="0" w:noVBand="1"/>
      </w:tblPr>
      <w:tblGrid>
        <w:gridCol w:w="4675"/>
        <w:gridCol w:w="4675"/>
      </w:tblGrid>
      <w:tr w:rsidR="00C30FD8" w14:paraId="33E91578" w14:textId="77777777" w:rsidTr="00C30FD8">
        <w:tc>
          <w:tcPr>
            <w:tcW w:w="9350" w:type="dxa"/>
            <w:gridSpan w:val="2"/>
            <w:shd w:val="clear" w:color="auto" w:fill="E2EFD9"/>
            <w:tcMar>
              <w:top w:w="0" w:type="dxa"/>
              <w:left w:w="108" w:type="dxa"/>
              <w:bottom w:w="0" w:type="dxa"/>
              <w:right w:w="108" w:type="dxa"/>
            </w:tcMar>
            <w:hideMark/>
          </w:tcPr>
          <w:p w14:paraId="09FFC304" w14:textId="77777777" w:rsidR="00C30FD8" w:rsidRDefault="00C30FD8" w:rsidP="00C30FD8">
            <w:pPr>
              <w:spacing w:after="0" w:line="240" w:lineRule="auto"/>
              <w:jc w:val="both"/>
              <w:rPr>
                <w:b/>
                <w:bCs/>
                <w:sz w:val="20"/>
                <w:szCs w:val="20"/>
                <w:lang w:eastAsia="ja-JP"/>
              </w:rPr>
            </w:pPr>
            <w:r>
              <w:rPr>
                <w:b/>
                <w:bCs/>
                <w:sz w:val="20"/>
                <w:szCs w:val="20"/>
                <w:lang w:eastAsia="ja-JP"/>
              </w:rPr>
              <w:t xml:space="preserve">Research: </w:t>
            </w:r>
            <w:r>
              <w:rPr>
                <w:color w:val="000000"/>
                <w:sz w:val="20"/>
                <w:szCs w:val="20"/>
                <w:lang w:eastAsia="ja-JP"/>
              </w:rPr>
              <w:t>Cash for Improved Nutrition in Somalia (CINS)</w:t>
            </w:r>
          </w:p>
        </w:tc>
      </w:tr>
      <w:tr w:rsidR="00C30FD8" w14:paraId="466E681D" w14:textId="77777777" w:rsidTr="00C30FD8">
        <w:tc>
          <w:tcPr>
            <w:tcW w:w="4675" w:type="dxa"/>
            <w:shd w:val="clear" w:color="auto" w:fill="E2EFD9"/>
            <w:tcMar>
              <w:top w:w="0" w:type="dxa"/>
              <w:left w:w="108" w:type="dxa"/>
              <w:bottom w:w="0" w:type="dxa"/>
              <w:right w:w="108" w:type="dxa"/>
            </w:tcMar>
            <w:hideMark/>
          </w:tcPr>
          <w:p w14:paraId="0FE96C19" w14:textId="77777777" w:rsidR="00C30FD8" w:rsidRDefault="00C30FD8" w:rsidP="00C30FD8">
            <w:pPr>
              <w:spacing w:after="0" w:line="240" w:lineRule="auto"/>
              <w:jc w:val="both"/>
              <w:rPr>
                <w:b/>
                <w:bCs/>
                <w:sz w:val="20"/>
                <w:szCs w:val="20"/>
                <w:lang w:eastAsia="ja-JP"/>
              </w:rPr>
            </w:pPr>
            <w:r>
              <w:rPr>
                <w:b/>
                <w:bCs/>
                <w:color w:val="000000"/>
                <w:sz w:val="20"/>
                <w:szCs w:val="20"/>
                <w:lang w:eastAsia="ja-JP"/>
              </w:rPr>
              <w:t xml:space="preserve">Authors: </w:t>
            </w:r>
            <w:r>
              <w:rPr>
                <w:color w:val="000000"/>
                <w:sz w:val="20"/>
                <w:szCs w:val="20"/>
                <w:lang w:eastAsia="ja-JP"/>
              </w:rPr>
              <w:t>UCL Institute for Global health and Concern Worldwide</w:t>
            </w:r>
          </w:p>
        </w:tc>
        <w:tc>
          <w:tcPr>
            <w:tcW w:w="4675" w:type="dxa"/>
            <w:shd w:val="clear" w:color="auto" w:fill="E2EFD9"/>
            <w:tcMar>
              <w:top w:w="0" w:type="dxa"/>
              <w:left w:w="108" w:type="dxa"/>
              <w:bottom w:w="0" w:type="dxa"/>
              <w:right w:w="108" w:type="dxa"/>
            </w:tcMar>
            <w:hideMark/>
          </w:tcPr>
          <w:p w14:paraId="08E4A3D9" w14:textId="77777777" w:rsidR="00C30FD8" w:rsidRDefault="00C30FD8" w:rsidP="00C30FD8">
            <w:pPr>
              <w:spacing w:after="0" w:line="240" w:lineRule="auto"/>
              <w:jc w:val="both"/>
              <w:rPr>
                <w:sz w:val="20"/>
                <w:szCs w:val="20"/>
                <w:lang w:eastAsia="ja-JP"/>
              </w:rPr>
            </w:pPr>
            <w:r>
              <w:rPr>
                <w:b/>
                <w:bCs/>
                <w:color w:val="000000"/>
                <w:sz w:val="20"/>
                <w:szCs w:val="20"/>
                <w:lang w:eastAsia="ja-JP"/>
              </w:rPr>
              <w:t xml:space="preserve">Location: </w:t>
            </w:r>
            <w:r>
              <w:rPr>
                <w:color w:val="000000"/>
                <w:sz w:val="20"/>
                <w:szCs w:val="20"/>
                <w:lang w:eastAsia="ja-JP"/>
              </w:rPr>
              <w:t>Somalia</w:t>
            </w:r>
          </w:p>
        </w:tc>
      </w:tr>
      <w:tr w:rsidR="00C30FD8" w14:paraId="32CA0CAE" w14:textId="77777777" w:rsidTr="00C30FD8">
        <w:tc>
          <w:tcPr>
            <w:tcW w:w="9350" w:type="dxa"/>
            <w:gridSpan w:val="2"/>
            <w:shd w:val="clear" w:color="auto" w:fill="E2EFD9"/>
            <w:tcMar>
              <w:top w:w="0" w:type="dxa"/>
              <w:left w:w="108" w:type="dxa"/>
              <w:bottom w:w="0" w:type="dxa"/>
              <w:right w:w="108" w:type="dxa"/>
            </w:tcMar>
            <w:hideMark/>
          </w:tcPr>
          <w:p w14:paraId="149D07CA" w14:textId="77777777" w:rsidR="00C30FD8" w:rsidRDefault="00C30FD8" w:rsidP="00C30FD8">
            <w:pPr>
              <w:spacing w:after="0" w:line="240" w:lineRule="auto"/>
              <w:jc w:val="both"/>
              <w:rPr>
                <w:sz w:val="20"/>
                <w:szCs w:val="20"/>
                <w:lang w:eastAsia="ja-JP"/>
              </w:rPr>
            </w:pPr>
            <w:r>
              <w:rPr>
                <w:b/>
                <w:bCs/>
                <w:color w:val="000000"/>
                <w:sz w:val="20"/>
                <w:szCs w:val="20"/>
                <w:lang w:eastAsia="ja-JP"/>
              </w:rPr>
              <w:t xml:space="preserve">Intervention: </w:t>
            </w:r>
            <w:r>
              <w:rPr>
                <w:color w:val="000000"/>
                <w:sz w:val="20"/>
                <w:szCs w:val="20"/>
                <w:lang w:eastAsia="ja-JP"/>
              </w:rPr>
              <w:t xml:space="preserve">The CINS study was conducted in IDP camps in the </w:t>
            </w:r>
            <w:proofErr w:type="spellStart"/>
            <w:r>
              <w:rPr>
                <w:color w:val="000000"/>
                <w:sz w:val="20"/>
                <w:szCs w:val="20"/>
                <w:lang w:eastAsia="ja-JP"/>
              </w:rPr>
              <w:t>Afgooye</w:t>
            </w:r>
            <w:proofErr w:type="spellEnd"/>
            <w:r>
              <w:rPr>
                <w:color w:val="000000"/>
                <w:sz w:val="20"/>
                <w:szCs w:val="20"/>
                <w:lang w:eastAsia="ja-JP"/>
              </w:rPr>
              <w:t xml:space="preserve"> Corridor, an area that contains the largest IDP settlements in Mogadishu. The study used a 2x2 factorial </w:t>
            </w:r>
            <w:proofErr w:type="spellStart"/>
            <w:r>
              <w:rPr>
                <w:color w:val="000000"/>
                <w:sz w:val="20"/>
                <w:szCs w:val="20"/>
                <w:lang w:eastAsia="ja-JP"/>
              </w:rPr>
              <w:t>randomised</w:t>
            </w:r>
            <w:proofErr w:type="spellEnd"/>
            <w:r>
              <w:rPr>
                <w:color w:val="000000"/>
                <w:sz w:val="20"/>
                <w:szCs w:val="20"/>
                <w:lang w:eastAsia="ja-JP"/>
              </w:rPr>
              <w:t xml:space="preserve"> cluster trial design, where IDP camps were designated as clusters. A total of 23 clusters/camps were selected and included in the study. All households with children aged less than 5 years (n=774) within the study clusters were selected to receive $70 in the first three months (humanitarian cash) and $35 for another six months (safety net cash). </w:t>
            </w:r>
          </w:p>
          <w:p w14:paraId="67408F65" w14:textId="77777777" w:rsidR="00C30FD8" w:rsidRDefault="00C30FD8" w:rsidP="00C30FD8">
            <w:pPr>
              <w:spacing w:after="0" w:line="240" w:lineRule="auto"/>
              <w:jc w:val="both"/>
              <w:rPr>
                <w:sz w:val="20"/>
                <w:szCs w:val="20"/>
                <w:lang w:eastAsia="ja-JP"/>
              </w:rPr>
            </w:pPr>
            <w:r>
              <w:rPr>
                <w:color w:val="000000"/>
                <w:sz w:val="20"/>
                <w:szCs w:val="20"/>
                <w:lang w:eastAsia="ja-JP"/>
              </w:rPr>
              <w:t xml:space="preserve">The 23 clusters were initially </w:t>
            </w:r>
            <w:proofErr w:type="spellStart"/>
            <w:r>
              <w:rPr>
                <w:color w:val="000000"/>
                <w:sz w:val="20"/>
                <w:szCs w:val="20"/>
                <w:lang w:eastAsia="ja-JP"/>
              </w:rPr>
              <w:t>randomised</w:t>
            </w:r>
            <w:proofErr w:type="spellEnd"/>
            <w:r>
              <w:rPr>
                <w:color w:val="000000"/>
                <w:sz w:val="20"/>
                <w:szCs w:val="20"/>
                <w:lang w:eastAsia="ja-JP"/>
              </w:rPr>
              <w:t xml:space="preserve"> to receive either conditional or unconditional cash. The </w:t>
            </w:r>
            <w:proofErr w:type="spellStart"/>
            <w:r>
              <w:rPr>
                <w:color w:val="000000"/>
                <w:sz w:val="20"/>
                <w:szCs w:val="20"/>
                <w:lang w:eastAsia="ja-JP"/>
              </w:rPr>
              <w:t>randomisation</w:t>
            </w:r>
            <w:proofErr w:type="spellEnd"/>
            <w:r>
              <w:rPr>
                <w:color w:val="000000"/>
                <w:sz w:val="20"/>
                <w:szCs w:val="20"/>
                <w:lang w:eastAsia="ja-JP"/>
              </w:rPr>
              <w:t xml:space="preserve"> was then repeated to allocate the clusters to receive either mHealth or no mHealth. The conditionality was for caregivers to take any children below 5 years of age to the local health clinic for a health screening, where they were issued with a health record card. The mHealth component consisted in weekly voice messages, delivered </w:t>
            </w:r>
            <w:r>
              <w:rPr>
                <w:color w:val="000000"/>
                <w:sz w:val="20"/>
                <w:szCs w:val="20"/>
                <w:lang w:eastAsia="ja-JP"/>
              </w:rPr>
              <w:lastRenderedPageBreak/>
              <w:t>directly to the caregivers’ mobile phone. The voice messages covered the following topics: vaccinations; IYCF; WASH; identifying serious illness &amp; health seeking; prevention, recognition and treatment of acute malnutrition; and maximizing health and nutrition for all household members.</w:t>
            </w:r>
          </w:p>
        </w:tc>
      </w:tr>
      <w:tr w:rsidR="00C30FD8" w14:paraId="3BAFEE20" w14:textId="77777777" w:rsidTr="00C30FD8">
        <w:tc>
          <w:tcPr>
            <w:tcW w:w="9350" w:type="dxa"/>
            <w:gridSpan w:val="2"/>
            <w:shd w:val="clear" w:color="auto" w:fill="E2EFD9"/>
            <w:tcMar>
              <w:top w:w="0" w:type="dxa"/>
              <w:left w:w="108" w:type="dxa"/>
              <w:bottom w:w="0" w:type="dxa"/>
              <w:right w:w="108" w:type="dxa"/>
            </w:tcMar>
            <w:hideMark/>
          </w:tcPr>
          <w:p w14:paraId="0C5533C6" w14:textId="77777777" w:rsidR="00C30FD8" w:rsidRDefault="00C30FD8" w:rsidP="00C30FD8">
            <w:pPr>
              <w:spacing w:after="0" w:line="240" w:lineRule="auto"/>
              <w:rPr>
                <w:color w:val="000000"/>
                <w:sz w:val="20"/>
                <w:szCs w:val="20"/>
                <w:lang w:eastAsia="ja-JP"/>
              </w:rPr>
            </w:pPr>
            <w:r>
              <w:rPr>
                <w:b/>
                <w:bCs/>
                <w:color w:val="000000"/>
                <w:sz w:val="20"/>
                <w:szCs w:val="20"/>
                <w:lang w:eastAsia="ja-JP"/>
              </w:rPr>
              <w:lastRenderedPageBreak/>
              <w:t xml:space="preserve">Results: </w:t>
            </w:r>
            <w:r>
              <w:rPr>
                <w:color w:val="000000"/>
                <w:sz w:val="20"/>
                <w:szCs w:val="20"/>
                <w:lang w:eastAsia="ja-JP"/>
              </w:rPr>
              <w:t>The CCT intervention was associated with a strong and significant increase in the coverage of EPI vaccination and a reduction in measles infection. The mHealth intervention did not have any measurable impact on knowledge of health and nutrition topics among mothers/caregivers of children aged &lt;5 years. It did however lead to an increase in household expenditure on food and an improvement in the child dietary diversity score., as well as significantly reducing the risk of mortality in children aged &lt;5 years. Unexpectedly, the CCT was associated with an increased risk of acute malnutrition, and the mHealth intervention appeared to reduce measles vaccination coverage in children aged 9-59 months and was associated with an increased the risk of measles infection.</w:t>
            </w:r>
          </w:p>
        </w:tc>
      </w:tr>
      <w:tr w:rsidR="00C30FD8" w14:paraId="04965851" w14:textId="77777777" w:rsidTr="00C30FD8">
        <w:tc>
          <w:tcPr>
            <w:tcW w:w="9350" w:type="dxa"/>
            <w:gridSpan w:val="2"/>
            <w:shd w:val="clear" w:color="auto" w:fill="E2EFD9"/>
            <w:tcMar>
              <w:top w:w="0" w:type="dxa"/>
              <w:left w:w="108" w:type="dxa"/>
              <w:bottom w:w="0" w:type="dxa"/>
              <w:right w:w="108" w:type="dxa"/>
            </w:tcMar>
            <w:hideMark/>
          </w:tcPr>
          <w:p w14:paraId="310FD010" w14:textId="77777777" w:rsidR="00C30FD8" w:rsidRDefault="00C30FD8" w:rsidP="00C30FD8">
            <w:pPr>
              <w:spacing w:after="0" w:line="240" w:lineRule="auto"/>
              <w:jc w:val="both"/>
              <w:rPr>
                <w:b/>
                <w:bCs/>
                <w:color w:val="000000"/>
                <w:sz w:val="20"/>
                <w:szCs w:val="20"/>
                <w:lang w:eastAsia="ja-JP"/>
              </w:rPr>
            </w:pPr>
            <w:r>
              <w:rPr>
                <w:b/>
                <w:bCs/>
                <w:color w:val="000000"/>
                <w:sz w:val="20"/>
                <w:szCs w:val="20"/>
                <w:lang w:eastAsia="ja-JP"/>
              </w:rPr>
              <w:t xml:space="preserve">Learning: </w:t>
            </w:r>
          </w:p>
          <w:p w14:paraId="5DF7D744" w14:textId="3AE65320" w:rsidR="00C30FD8" w:rsidRPr="00C30FD8" w:rsidRDefault="00C30FD8" w:rsidP="00C30FD8">
            <w:pPr>
              <w:pStyle w:val="ListParagraph"/>
              <w:numPr>
                <w:ilvl w:val="0"/>
                <w:numId w:val="46"/>
              </w:numPr>
              <w:spacing w:after="0" w:line="240" w:lineRule="auto"/>
              <w:jc w:val="both"/>
              <w:rPr>
                <w:rFonts w:ascii="Calibri" w:eastAsia="Times New Roman" w:hAnsi="Calibri" w:cs="Calibri"/>
                <w:color w:val="000000"/>
                <w:sz w:val="20"/>
                <w:szCs w:val="20"/>
                <w:lang w:eastAsia="ja-JP"/>
              </w:rPr>
            </w:pPr>
            <w:r w:rsidRPr="00C30FD8">
              <w:rPr>
                <w:rFonts w:ascii="Calibri" w:eastAsia="Times New Roman" w:hAnsi="Calibri" w:cs="Calibri"/>
                <w:color w:val="000000"/>
                <w:sz w:val="20"/>
                <w:szCs w:val="20"/>
                <w:lang w:eastAsia="ja-JP"/>
              </w:rPr>
              <w:t>Integrated Cash+ approaches are important to achieve key health and nutrition outcomes in humanitarian contexts such as Somalia.</w:t>
            </w:r>
          </w:p>
          <w:p w14:paraId="080A4085" w14:textId="77777777" w:rsidR="00C30FD8" w:rsidRPr="00C30FD8" w:rsidRDefault="00C30FD8" w:rsidP="00C30FD8">
            <w:pPr>
              <w:pStyle w:val="ListParagraph"/>
              <w:numPr>
                <w:ilvl w:val="0"/>
                <w:numId w:val="46"/>
              </w:numPr>
              <w:spacing w:after="0" w:line="240" w:lineRule="auto"/>
              <w:jc w:val="both"/>
              <w:rPr>
                <w:rFonts w:ascii="Calibri" w:eastAsia="Times New Roman" w:hAnsi="Calibri" w:cs="Calibri"/>
                <w:color w:val="000000"/>
                <w:sz w:val="20"/>
                <w:szCs w:val="20"/>
                <w:lang w:eastAsia="ja-JP"/>
              </w:rPr>
            </w:pPr>
            <w:r w:rsidRPr="00C30FD8">
              <w:rPr>
                <w:rFonts w:eastAsia="Times New Roman"/>
                <w:color w:val="000000"/>
                <w:sz w:val="20"/>
                <w:szCs w:val="20"/>
                <w:lang w:eastAsia="ja-JP"/>
              </w:rPr>
              <w:t>Conditional cash transfers can improve the uptake of life saving vaccination services.</w:t>
            </w:r>
          </w:p>
          <w:p w14:paraId="0C59E89D" w14:textId="77777777" w:rsidR="00C30FD8" w:rsidRPr="00C30FD8" w:rsidRDefault="00C30FD8" w:rsidP="00C30FD8">
            <w:pPr>
              <w:pStyle w:val="ListParagraph"/>
              <w:numPr>
                <w:ilvl w:val="0"/>
                <w:numId w:val="46"/>
              </w:numPr>
              <w:spacing w:after="0" w:line="240" w:lineRule="auto"/>
              <w:jc w:val="both"/>
              <w:rPr>
                <w:rFonts w:eastAsia="Times New Roman"/>
                <w:color w:val="000000"/>
                <w:sz w:val="20"/>
                <w:szCs w:val="20"/>
                <w:lang w:eastAsia="ja-JP"/>
              </w:rPr>
            </w:pPr>
            <w:r w:rsidRPr="00C30FD8">
              <w:rPr>
                <w:rFonts w:eastAsia="Times New Roman"/>
                <w:color w:val="000000"/>
                <w:sz w:val="20"/>
                <w:szCs w:val="20"/>
                <w:lang w:eastAsia="ja-JP"/>
              </w:rPr>
              <w:t>Linking cash transfers to health facility access can create demand for service provision and enhance reach.</w:t>
            </w:r>
          </w:p>
          <w:p w14:paraId="703D8EA6" w14:textId="77777777" w:rsidR="00C30FD8" w:rsidRPr="00C30FD8" w:rsidRDefault="00C30FD8" w:rsidP="00C30FD8">
            <w:pPr>
              <w:pStyle w:val="ListParagraph"/>
              <w:numPr>
                <w:ilvl w:val="0"/>
                <w:numId w:val="46"/>
              </w:numPr>
              <w:spacing w:after="0" w:line="240" w:lineRule="auto"/>
              <w:jc w:val="both"/>
              <w:rPr>
                <w:rFonts w:eastAsia="Times New Roman"/>
                <w:color w:val="000000"/>
                <w:sz w:val="20"/>
                <w:szCs w:val="20"/>
                <w:lang w:eastAsia="ja-JP"/>
              </w:rPr>
            </w:pPr>
            <w:r w:rsidRPr="00C30FD8">
              <w:rPr>
                <w:rFonts w:eastAsia="Times New Roman"/>
                <w:color w:val="000000"/>
                <w:sz w:val="20"/>
                <w:szCs w:val="20"/>
                <w:lang w:eastAsia="ja-JP"/>
              </w:rPr>
              <w:t>mHealth interventions can increase household expenditure and improve child dietary diversity.</w:t>
            </w:r>
          </w:p>
        </w:tc>
      </w:tr>
    </w:tbl>
    <w:p w14:paraId="58A7F8BA" w14:textId="2DBD17D8" w:rsidR="003268F5" w:rsidRDefault="003268F5" w:rsidP="00F906B4">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CellMar>
          <w:left w:w="0" w:type="dxa"/>
          <w:right w:w="0" w:type="dxa"/>
        </w:tblCellMar>
        <w:tblLook w:val="04A0" w:firstRow="1" w:lastRow="0" w:firstColumn="1" w:lastColumn="0" w:noHBand="0" w:noVBand="1"/>
      </w:tblPr>
      <w:tblGrid>
        <w:gridCol w:w="4675"/>
        <w:gridCol w:w="4675"/>
      </w:tblGrid>
      <w:tr w:rsidR="00D232EF" w:rsidRPr="00D232EF" w14:paraId="35425A7D" w14:textId="77777777" w:rsidTr="00D232EF">
        <w:tc>
          <w:tcPr>
            <w:tcW w:w="4675" w:type="dxa"/>
            <w:shd w:val="clear" w:color="auto" w:fill="FFF2CC"/>
            <w:tcMar>
              <w:top w:w="0" w:type="dxa"/>
              <w:left w:w="108" w:type="dxa"/>
              <w:bottom w:w="0" w:type="dxa"/>
              <w:right w:w="108" w:type="dxa"/>
            </w:tcMar>
            <w:hideMark/>
          </w:tcPr>
          <w:p w14:paraId="2447F6A6" w14:textId="77777777" w:rsidR="00D232EF" w:rsidRPr="00D232EF" w:rsidRDefault="00D232EF" w:rsidP="00D232EF">
            <w:pPr>
              <w:spacing w:after="0" w:line="240" w:lineRule="auto"/>
              <w:rPr>
                <w:sz w:val="20"/>
                <w:szCs w:val="20"/>
              </w:rPr>
            </w:pPr>
            <w:r w:rsidRPr="00D232EF">
              <w:rPr>
                <w:b/>
                <w:bCs/>
                <w:sz w:val="20"/>
                <w:szCs w:val="20"/>
                <w:lang w:val="en-GB"/>
              </w:rPr>
              <w:t xml:space="preserve">Organisation: </w:t>
            </w:r>
            <w:r w:rsidRPr="00D232EF">
              <w:rPr>
                <w:sz w:val="20"/>
                <w:szCs w:val="20"/>
                <w:lang w:val="en-GB"/>
              </w:rPr>
              <w:t xml:space="preserve">FAO              </w:t>
            </w:r>
          </w:p>
        </w:tc>
        <w:tc>
          <w:tcPr>
            <w:tcW w:w="4675" w:type="dxa"/>
            <w:shd w:val="clear" w:color="auto" w:fill="FFF2CC"/>
            <w:tcMar>
              <w:top w:w="0" w:type="dxa"/>
              <w:left w:w="108" w:type="dxa"/>
              <w:bottom w:w="0" w:type="dxa"/>
              <w:right w:w="108" w:type="dxa"/>
            </w:tcMar>
            <w:hideMark/>
          </w:tcPr>
          <w:p w14:paraId="77CE027D" w14:textId="77777777" w:rsidR="00D232EF" w:rsidRPr="00D232EF" w:rsidRDefault="00D232EF" w:rsidP="00D232EF">
            <w:pPr>
              <w:spacing w:after="0" w:line="240" w:lineRule="auto"/>
              <w:rPr>
                <w:sz w:val="20"/>
                <w:szCs w:val="20"/>
              </w:rPr>
            </w:pPr>
            <w:r w:rsidRPr="00D232EF">
              <w:rPr>
                <w:b/>
                <w:bCs/>
                <w:sz w:val="20"/>
                <w:szCs w:val="20"/>
                <w:lang w:val="en-GB"/>
              </w:rPr>
              <w:t xml:space="preserve">Location: </w:t>
            </w:r>
            <w:r w:rsidRPr="00D232EF">
              <w:rPr>
                <w:sz w:val="20"/>
                <w:szCs w:val="20"/>
                <w:lang w:val="en-GB"/>
              </w:rPr>
              <w:t>Somalia</w:t>
            </w:r>
          </w:p>
        </w:tc>
      </w:tr>
      <w:tr w:rsidR="00D232EF" w:rsidRPr="00D232EF" w14:paraId="05198048" w14:textId="77777777" w:rsidTr="00D232EF">
        <w:tc>
          <w:tcPr>
            <w:tcW w:w="4675" w:type="dxa"/>
            <w:shd w:val="clear" w:color="auto" w:fill="FFF2CC"/>
            <w:tcMar>
              <w:top w:w="0" w:type="dxa"/>
              <w:left w:w="108" w:type="dxa"/>
              <w:bottom w:w="0" w:type="dxa"/>
              <w:right w:w="108" w:type="dxa"/>
            </w:tcMar>
            <w:hideMark/>
          </w:tcPr>
          <w:p w14:paraId="36E44380" w14:textId="77777777" w:rsidR="00D232EF" w:rsidRPr="00D232EF" w:rsidRDefault="00D232EF" w:rsidP="00D232EF">
            <w:pPr>
              <w:spacing w:after="0" w:line="240" w:lineRule="auto"/>
              <w:rPr>
                <w:sz w:val="20"/>
                <w:szCs w:val="20"/>
              </w:rPr>
            </w:pPr>
            <w:r w:rsidRPr="00D232EF">
              <w:rPr>
                <w:b/>
                <w:bCs/>
                <w:sz w:val="20"/>
                <w:szCs w:val="20"/>
                <w:lang w:val="en-GB"/>
              </w:rPr>
              <w:t xml:space="preserve">Programme and duration: </w:t>
            </w:r>
            <w:r w:rsidRPr="00D232EF">
              <w:rPr>
                <w:sz w:val="20"/>
                <w:szCs w:val="20"/>
                <w:lang w:val="en-GB"/>
              </w:rPr>
              <w:t>Improving and sustaining food security in rural Somalia (emergency cash), 2019-2020</w:t>
            </w:r>
          </w:p>
        </w:tc>
        <w:tc>
          <w:tcPr>
            <w:tcW w:w="4675" w:type="dxa"/>
            <w:shd w:val="clear" w:color="auto" w:fill="FFF2CC"/>
            <w:tcMar>
              <w:top w:w="0" w:type="dxa"/>
              <w:left w:w="108" w:type="dxa"/>
              <w:bottom w:w="0" w:type="dxa"/>
              <w:right w:w="108" w:type="dxa"/>
            </w:tcMar>
            <w:hideMark/>
          </w:tcPr>
          <w:p w14:paraId="6DFE5E96" w14:textId="77777777" w:rsidR="00D232EF" w:rsidRPr="00D232EF" w:rsidRDefault="00D232EF" w:rsidP="00D232EF">
            <w:pPr>
              <w:spacing w:after="0" w:line="240" w:lineRule="auto"/>
              <w:rPr>
                <w:sz w:val="20"/>
                <w:szCs w:val="20"/>
              </w:rPr>
            </w:pPr>
            <w:r w:rsidRPr="00D232EF">
              <w:rPr>
                <w:b/>
                <w:bCs/>
                <w:sz w:val="20"/>
                <w:szCs w:val="20"/>
                <w:lang w:val="en-GB"/>
              </w:rPr>
              <w:t>Documents reviewed:</w:t>
            </w:r>
          </w:p>
          <w:p w14:paraId="527F9F92" w14:textId="77777777" w:rsidR="00D232EF" w:rsidRPr="00D232EF" w:rsidRDefault="00D232EF" w:rsidP="00D232EF">
            <w:pPr>
              <w:spacing w:after="0" w:line="240" w:lineRule="auto"/>
              <w:rPr>
                <w:sz w:val="20"/>
                <w:szCs w:val="20"/>
              </w:rPr>
            </w:pPr>
            <w:r w:rsidRPr="00D232EF">
              <w:rPr>
                <w:sz w:val="20"/>
                <w:szCs w:val="20"/>
                <w:lang w:val="en-GB"/>
              </w:rPr>
              <w:t xml:space="preserve">FFP project proposal </w:t>
            </w:r>
          </w:p>
        </w:tc>
      </w:tr>
      <w:tr w:rsidR="00D232EF" w:rsidRPr="00D232EF" w14:paraId="7E558D66" w14:textId="77777777" w:rsidTr="00D232EF">
        <w:tc>
          <w:tcPr>
            <w:tcW w:w="9350" w:type="dxa"/>
            <w:gridSpan w:val="2"/>
            <w:shd w:val="clear" w:color="auto" w:fill="FFF2CC"/>
            <w:tcMar>
              <w:top w:w="0" w:type="dxa"/>
              <w:left w:w="108" w:type="dxa"/>
              <w:bottom w:w="0" w:type="dxa"/>
              <w:right w:w="108" w:type="dxa"/>
            </w:tcMar>
            <w:hideMark/>
          </w:tcPr>
          <w:p w14:paraId="3E5AEE46" w14:textId="610066D4" w:rsidR="00D232EF" w:rsidRPr="00D232EF" w:rsidRDefault="00D232EF" w:rsidP="00D232EF">
            <w:pPr>
              <w:spacing w:after="0" w:line="240" w:lineRule="auto"/>
              <w:rPr>
                <w:sz w:val="20"/>
                <w:szCs w:val="20"/>
              </w:rPr>
            </w:pPr>
            <w:r w:rsidRPr="00D232EF">
              <w:rPr>
                <w:b/>
                <w:bCs/>
                <w:sz w:val="20"/>
                <w:szCs w:val="20"/>
                <w:lang w:val="en-GB"/>
              </w:rPr>
              <w:t>Intervention</w:t>
            </w:r>
            <w:r w:rsidRPr="00D232EF">
              <w:rPr>
                <w:sz w:val="20"/>
                <w:szCs w:val="20"/>
                <w:lang w:val="en-GB"/>
              </w:rPr>
              <w:t xml:space="preserve">: The project follows FAO’s cash plus approach and build on past projects using household cash transfers (through unconditional transfers or </w:t>
            </w:r>
            <w:proofErr w:type="spellStart"/>
            <w:r w:rsidRPr="00D232EF">
              <w:rPr>
                <w:sz w:val="20"/>
                <w:szCs w:val="20"/>
                <w:lang w:val="en-GB"/>
              </w:rPr>
              <w:t>CfW</w:t>
            </w:r>
            <w:proofErr w:type="spellEnd"/>
            <w:r w:rsidRPr="00D232EF">
              <w:rPr>
                <w:sz w:val="20"/>
                <w:szCs w:val="20"/>
                <w:lang w:val="en-GB"/>
              </w:rPr>
              <w:t xml:space="preserve">) and livelihood support. The programme aims to meet the immediate needs of shock-affected vulnerable communities while restoring their own food production. It combines household cash transfers based on 100% of the minimum food basket, a livelihood support package tailored to livelihood group, technical training on different livelihood activity </w:t>
            </w:r>
            <w:r>
              <w:rPr>
                <w:sz w:val="20"/>
                <w:szCs w:val="20"/>
                <w:lang w:val="en-GB"/>
              </w:rPr>
              <w:t>(</w:t>
            </w:r>
            <w:r w:rsidRPr="00D232EF">
              <w:rPr>
                <w:sz w:val="20"/>
                <w:szCs w:val="20"/>
                <w:lang w:val="en-GB"/>
              </w:rPr>
              <w:t>e</w:t>
            </w:r>
            <w:r>
              <w:rPr>
                <w:sz w:val="20"/>
                <w:szCs w:val="20"/>
                <w:lang w:val="en-GB"/>
              </w:rPr>
              <w:t>.</w:t>
            </w:r>
            <w:r w:rsidRPr="00D232EF">
              <w:rPr>
                <w:sz w:val="20"/>
                <w:szCs w:val="20"/>
                <w:lang w:val="en-GB"/>
              </w:rPr>
              <w:t>g</w:t>
            </w:r>
            <w:r>
              <w:rPr>
                <w:sz w:val="20"/>
                <w:szCs w:val="20"/>
                <w:lang w:val="en-GB"/>
              </w:rPr>
              <w:t>.</w:t>
            </w:r>
            <w:r w:rsidRPr="00D232EF">
              <w:rPr>
                <w:sz w:val="20"/>
                <w:szCs w:val="20"/>
                <w:lang w:val="en-GB"/>
              </w:rPr>
              <w:t xml:space="preserve"> good agricultural practices and nutrition SBC activities. The cash component is provided monthly for 3-6 months, depending on the duration of the lean season. The livelihood support package consists of:</w:t>
            </w:r>
          </w:p>
          <w:p w14:paraId="4173BC09" w14:textId="77777777" w:rsidR="00D232EF" w:rsidRPr="00D232EF" w:rsidRDefault="00D232EF" w:rsidP="00D232EF">
            <w:pPr>
              <w:numPr>
                <w:ilvl w:val="0"/>
                <w:numId w:val="47"/>
              </w:numPr>
              <w:spacing w:after="0" w:line="240" w:lineRule="auto"/>
              <w:rPr>
                <w:sz w:val="20"/>
                <w:szCs w:val="20"/>
              </w:rPr>
            </w:pPr>
            <w:r w:rsidRPr="00D232EF">
              <w:rPr>
                <w:sz w:val="20"/>
                <w:szCs w:val="20"/>
                <w:lang w:val="en-GB"/>
              </w:rPr>
              <w:t xml:space="preserve">seeds for cereal (sorghum or maize), pulses and vegetables targeting farmers, </w:t>
            </w:r>
          </w:p>
          <w:p w14:paraId="10017F7D" w14:textId="77777777" w:rsidR="00D232EF" w:rsidRPr="00D232EF" w:rsidRDefault="00D232EF" w:rsidP="00D232EF">
            <w:pPr>
              <w:numPr>
                <w:ilvl w:val="0"/>
                <w:numId w:val="47"/>
              </w:numPr>
              <w:spacing w:after="0" w:line="240" w:lineRule="auto"/>
              <w:rPr>
                <w:sz w:val="20"/>
                <w:szCs w:val="20"/>
              </w:rPr>
            </w:pPr>
            <w:r w:rsidRPr="00D232EF">
              <w:rPr>
                <w:sz w:val="20"/>
                <w:szCs w:val="20"/>
                <w:lang w:val="en-GB"/>
              </w:rPr>
              <w:t xml:space="preserve">a vegetable kit and basic micro-irrigation supplies targeting women in IDP settlements, </w:t>
            </w:r>
          </w:p>
          <w:p w14:paraId="24848633" w14:textId="77777777" w:rsidR="00D232EF" w:rsidRPr="00D232EF" w:rsidRDefault="00D232EF" w:rsidP="00D232EF">
            <w:pPr>
              <w:numPr>
                <w:ilvl w:val="0"/>
                <w:numId w:val="47"/>
              </w:numPr>
              <w:spacing w:after="0" w:line="240" w:lineRule="auto"/>
              <w:rPr>
                <w:sz w:val="20"/>
                <w:szCs w:val="20"/>
              </w:rPr>
            </w:pPr>
            <w:r w:rsidRPr="00D232EF">
              <w:rPr>
                <w:sz w:val="20"/>
                <w:szCs w:val="20"/>
                <w:lang w:val="en-GB"/>
              </w:rPr>
              <w:t>feed blocks, milk containers and deworming for the animals targeting herders,</w:t>
            </w:r>
          </w:p>
          <w:p w14:paraId="0B1D1751" w14:textId="77777777" w:rsidR="00D232EF" w:rsidRPr="00D232EF" w:rsidRDefault="00D232EF" w:rsidP="00D232EF">
            <w:pPr>
              <w:numPr>
                <w:ilvl w:val="0"/>
                <w:numId w:val="47"/>
              </w:numPr>
              <w:spacing w:after="0" w:line="240" w:lineRule="auto"/>
              <w:rPr>
                <w:sz w:val="20"/>
                <w:szCs w:val="20"/>
              </w:rPr>
            </w:pPr>
            <w:r w:rsidRPr="00D232EF">
              <w:rPr>
                <w:sz w:val="20"/>
                <w:szCs w:val="20"/>
                <w:lang w:val="en-GB"/>
              </w:rPr>
              <w:t>fishing gear and equipment targeting coastal communities.</w:t>
            </w:r>
          </w:p>
          <w:p w14:paraId="76142828" w14:textId="77777777" w:rsidR="00D232EF" w:rsidRPr="00D232EF" w:rsidRDefault="00D232EF" w:rsidP="00D232EF">
            <w:pPr>
              <w:spacing w:after="0" w:line="240" w:lineRule="auto"/>
              <w:rPr>
                <w:sz w:val="20"/>
                <w:szCs w:val="20"/>
              </w:rPr>
            </w:pPr>
            <w:r w:rsidRPr="00D232EF">
              <w:rPr>
                <w:sz w:val="20"/>
                <w:szCs w:val="20"/>
                <w:lang w:val="en-GB"/>
              </w:rPr>
              <w:t>SBC activities aim to improve food choices and utilization and include nutrition and food safety messages and cooking demonstrations. They are implemented through community nutrition champions who were previously trained as community trainers. The SBC trainings and activities focus on the different nutrition needs of people throughout the life cycle (i.e. from infancy to old age) as well as care practices, with an emphasis on women and children.</w:t>
            </w:r>
          </w:p>
        </w:tc>
      </w:tr>
      <w:tr w:rsidR="00D232EF" w:rsidRPr="00D232EF" w14:paraId="202995B9" w14:textId="77777777" w:rsidTr="00D232EF">
        <w:tc>
          <w:tcPr>
            <w:tcW w:w="9350" w:type="dxa"/>
            <w:gridSpan w:val="2"/>
            <w:shd w:val="clear" w:color="auto" w:fill="FFF2CC"/>
            <w:tcMar>
              <w:top w:w="0" w:type="dxa"/>
              <w:left w:w="108" w:type="dxa"/>
              <w:bottom w:w="0" w:type="dxa"/>
              <w:right w:w="108" w:type="dxa"/>
            </w:tcMar>
            <w:hideMark/>
          </w:tcPr>
          <w:p w14:paraId="331E8076" w14:textId="77777777" w:rsidR="00D232EF" w:rsidRPr="00D232EF" w:rsidRDefault="00D232EF" w:rsidP="00D232EF">
            <w:pPr>
              <w:spacing w:after="0" w:line="240" w:lineRule="auto"/>
              <w:rPr>
                <w:sz w:val="20"/>
                <w:szCs w:val="20"/>
              </w:rPr>
            </w:pPr>
            <w:r w:rsidRPr="00D232EF">
              <w:rPr>
                <w:b/>
                <w:bCs/>
                <w:sz w:val="20"/>
                <w:szCs w:val="20"/>
                <w:lang w:val="en-GB"/>
              </w:rPr>
              <w:t>Results and learning</w:t>
            </w:r>
            <w:r w:rsidRPr="00D232EF">
              <w:rPr>
                <w:sz w:val="20"/>
                <w:szCs w:val="20"/>
                <w:lang w:val="en-GB"/>
              </w:rPr>
              <w:t xml:space="preserve">: Previous projects that provided household cash transfers in combination with an agricultural livelihood package achieve positive results household food consumption and production. </w:t>
            </w:r>
          </w:p>
          <w:p w14:paraId="3432F2D4" w14:textId="77777777" w:rsidR="00D232EF" w:rsidRPr="00D232EF" w:rsidRDefault="00D232EF" w:rsidP="00D232EF">
            <w:pPr>
              <w:spacing w:after="0" w:line="240" w:lineRule="auto"/>
              <w:rPr>
                <w:sz w:val="20"/>
                <w:szCs w:val="20"/>
              </w:rPr>
            </w:pPr>
            <w:r w:rsidRPr="00D232EF">
              <w:rPr>
                <w:sz w:val="20"/>
                <w:szCs w:val="20"/>
                <w:lang w:val="en-GB"/>
              </w:rPr>
              <w:t xml:space="preserve">A </w:t>
            </w:r>
            <w:proofErr w:type="gramStart"/>
            <w:r w:rsidRPr="00D232EF">
              <w:rPr>
                <w:sz w:val="20"/>
                <w:szCs w:val="20"/>
                <w:lang w:val="en-GB"/>
              </w:rPr>
              <w:t>livestock impact assessments</w:t>
            </w:r>
            <w:proofErr w:type="gramEnd"/>
            <w:r w:rsidRPr="00D232EF">
              <w:rPr>
                <w:sz w:val="20"/>
                <w:szCs w:val="20"/>
                <w:lang w:val="en-GB"/>
              </w:rPr>
              <w:t xml:space="preserve"> conducted by FAO in March 2019 showed that out of the beneficiaries who received two rounds of cash disbursements, 98.2% used the first payment on food while in the second round, 83% prioritised purchasing food for the household. Despite </w:t>
            </w:r>
            <w:proofErr w:type="gramStart"/>
            <w:r w:rsidRPr="00D232EF">
              <w:rPr>
                <w:sz w:val="20"/>
                <w:szCs w:val="20"/>
                <w:lang w:val="en-GB"/>
              </w:rPr>
              <w:t>a majority of</w:t>
            </w:r>
            <w:proofErr w:type="gramEnd"/>
            <w:r w:rsidRPr="00D232EF">
              <w:rPr>
                <w:sz w:val="20"/>
                <w:szCs w:val="20"/>
                <w:lang w:val="en-GB"/>
              </w:rPr>
              <w:t xml:space="preserve"> the beneficiaries using their money on food, 62% had a low dietary diversity score. This provides a clear entry point for influencing behaviour changes </w:t>
            </w:r>
            <w:proofErr w:type="gramStart"/>
            <w:r w:rsidRPr="00D232EF">
              <w:rPr>
                <w:sz w:val="20"/>
                <w:szCs w:val="20"/>
                <w:lang w:val="en-GB"/>
              </w:rPr>
              <w:t>with regard to</w:t>
            </w:r>
            <w:proofErr w:type="gramEnd"/>
            <w:r w:rsidRPr="00D232EF">
              <w:rPr>
                <w:sz w:val="20"/>
                <w:szCs w:val="20"/>
                <w:lang w:val="en-GB"/>
              </w:rPr>
              <w:t xml:space="preserve"> food choices and care practices. It is an opportunity to influence consumption. 2019 Gu Crop Yield assessment for the agropastoral beneficiaries showed that only 40% had a low dietary diversity score as opposed to 53% of non-beneficiaries. This clearly shows that the cash plus modality has an impact on the dietary diversity of households.</w:t>
            </w:r>
          </w:p>
          <w:p w14:paraId="219A7F31" w14:textId="77777777" w:rsidR="00D232EF" w:rsidRPr="00D232EF" w:rsidRDefault="00D232EF" w:rsidP="00D232EF">
            <w:pPr>
              <w:spacing w:after="0" w:line="240" w:lineRule="auto"/>
              <w:rPr>
                <w:sz w:val="20"/>
                <w:szCs w:val="20"/>
              </w:rPr>
            </w:pPr>
            <w:r w:rsidRPr="00D232EF">
              <w:rPr>
                <w:sz w:val="20"/>
                <w:szCs w:val="20"/>
                <w:lang w:val="en-GB"/>
              </w:rPr>
              <w:t xml:space="preserve">Current anecdotal evidence from implementing partners suggests that project beneficiaries previously did not know how to utilise some of the vegetables provided, however, because of the nutrition training and messages, they are keen to purchase, produce and consume more fruits and vegetable for the nutrition, health and </w:t>
            </w:r>
            <w:r w:rsidRPr="00D232EF">
              <w:rPr>
                <w:sz w:val="20"/>
                <w:szCs w:val="20"/>
                <w:lang w:val="en-GB"/>
              </w:rPr>
              <w:lastRenderedPageBreak/>
              <w:t>wellbeing of their households. 2020 Impact assessments to be done at the end of the implementation period will be used to verify this information as well as to capture more nutrition sensitive indicators such as impact on-farm diversity, MDDW and MAD.</w:t>
            </w:r>
          </w:p>
          <w:p w14:paraId="201D53EE" w14:textId="2C719152" w:rsidR="00D232EF" w:rsidRPr="00D232EF" w:rsidRDefault="00D232EF" w:rsidP="00D232EF">
            <w:pPr>
              <w:spacing w:after="0" w:line="240" w:lineRule="auto"/>
              <w:rPr>
                <w:sz w:val="20"/>
                <w:szCs w:val="20"/>
              </w:rPr>
            </w:pPr>
            <w:r w:rsidRPr="00D232EF">
              <w:rPr>
                <w:sz w:val="20"/>
                <w:szCs w:val="20"/>
                <w:lang w:val="en-GB"/>
              </w:rPr>
              <w:t xml:space="preserve">FAO is currently piloting a long-term cash modality that provides smaller amounts of cash over a longer </w:t>
            </w:r>
            <w:proofErr w:type="gramStart"/>
            <w:r w:rsidRPr="00D232EF">
              <w:rPr>
                <w:sz w:val="20"/>
                <w:szCs w:val="20"/>
                <w:lang w:val="en-GB"/>
              </w:rPr>
              <w:t>period of time</w:t>
            </w:r>
            <w:proofErr w:type="gramEnd"/>
            <w:r w:rsidRPr="00D232EF">
              <w:rPr>
                <w:sz w:val="20"/>
                <w:szCs w:val="20"/>
                <w:lang w:val="en-GB"/>
              </w:rPr>
              <w:t xml:space="preserve"> (1 year), livelihood inputs as well as village savings and loans trainings. The main aim of the long-term cash project is to provide options for vulnerable communities to diversify their livelihoods and therefor build their resilience against the recurrent shocks that are common in Somalia.</w:t>
            </w:r>
          </w:p>
        </w:tc>
      </w:tr>
    </w:tbl>
    <w:p w14:paraId="3EED8E0D" w14:textId="3CA7683E" w:rsidR="004B37D3" w:rsidRPr="00513BF4" w:rsidRDefault="004B37D3" w:rsidP="00F906B4">
      <w:pPr>
        <w:jc w:val="both"/>
        <w:rPr>
          <w:lang w:val="en-GB"/>
        </w:rPr>
      </w:pPr>
    </w:p>
    <w:tbl>
      <w:tblPr>
        <w:tblStyle w:val="TableGrid"/>
        <w:tblW w:w="0" w:type="auto"/>
        <w:shd w:val="clear" w:color="auto" w:fill="FFF2CC" w:themeFill="accent4" w:themeFillTint="33"/>
        <w:tblLook w:val="04A0" w:firstRow="1" w:lastRow="0" w:firstColumn="1" w:lastColumn="0" w:noHBand="0" w:noVBand="1"/>
      </w:tblPr>
      <w:tblGrid>
        <w:gridCol w:w="4675"/>
        <w:gridCol w:w="4675"/>
      </w:tblGrid>
      <w:tr w:rsidR="004B37D3" w:rsidRPr="00513BF4" w14:paraId="558E04A7" w14:textId="77777777" w:rsidTr="00121CC9">
        <w:tc>
          <w:tcPr>
            <w:tcW w:w="4675" w:type="dxa"/>
            <w:shd w:val="clear" w:color="auto" w:fill="FFF2CC" w:themeFill="accent4" w:themeFillTint="33"/>
          </w:tcPr>
          <w:p w14:paraId="5CC998AD" w14:textId="77777777" w:rsidR="004B37D3" w:rsidRPr="00513BF4" w:rsidRDefault="004B37D3" w:rsidP="00121CC9">
            <w:pPr>
              <w:jc w:val="both"/>
              <w:rPr>
                <w:b/>
                <w:bCs/>
                <w:sz w:val="20"/>
                <w:szCs w:val="20"/>
                <w:lang w:val="en-GB"/>
              </w:rPr>
            </w:pPr>
            <w:bookmarkStart w:id="16" w:name="_Hlk43368798"/>
            <w:r w:rsidRPr="00513BF4">
              <w:rPr>
                <w:b/>
                <w:bCs/>
                <w:sz w:val="20"/>
                <w:szCs w:val="20"/>
                <w:lang w:val="en-GB"/>
              </w:rPr>
              <w:t xml:space="preserve">Organisation: </w:t>
            </w:r>
            <w:proofErr w:type="spellStart"/>
            <w:r w:rsidRPr="00513BF4">
              <w:rPr>
                <w:sz w:val="20"/>
                <w:szCs w:val="20"/>
                <w:lang w:val="en-GB"/>
              </w:rPr>
              <w:t>BRCiS</w:t>
            </w:r>
            <w:proofErr w:type="spellEnd"/>
            <w:r w:rsidRPr="00513BF4">
              <w:rPr>
                <w:sz w:val="20"/>
                <w:szCs w:val="20"/>
                <w:lang w:val="en-GB"/>
              </w:rPr>
              <w:t xml:space="preserve"> Consortium, led by NRC</w:t>
            </w:r>
          </w:p>
        </w:tc>
        <w:tc>
          <w:tcPr>
            <w:tcW w:w="4675" w:type="dxa"/>
            <w:shd w:val="clear" w:color="auto" w:fill="FFF2CC" w:themeFill="accent4" w:themeFillTint="33"/>
          </w:tcPr>
          <w:p w14:paraId="3CF31C35" w14:textId="77777777" w:rsidR="004B37D3" w:rsidRPr="00513BF4" w:rsidRDefault="004B37D3" w:rsidP="00121CC9">
            <w:pPr>
              <w:jc w:val="both"/>
              <w:rPr>
                <w:rFonts w:cstheme="minorHAnsi"/>
                <w:sz w:val="20"/>
                <w:szCs w:val="20"/>
                <w:lang w:val="en-GB"/>
              </w:rPr>
            </w:pPr>
            <w:r w:rsidRPr="00513BF4">
              <w:rPr>
                <w:b/>
                <w:bCs/>
                <w:sz w:val="20"/>
                <w:szCs w:val="20"/>
                <w:lang w:val="en-GB"/>
              </w:rPr>
              <w:t xml:space="preserve">Location: </w:t>
            </w:r>
            <w:r w:rsidRPr="00513BF4">
              <w:rPr>
                <w:sz w:val="20"/>
                <w:szCs w:val="20"/>
                <w:lang w:val="en-GB"/>
              </w:rPr>
              <w:t>Somalia</w:t>
            </w:r>
          </w:p>
        </w:tc>
      </w:tr>
      <w:tr w:rsidR="004B37D3" w:rsidRPr="00513BF4" w14:paraId="08BA83C6" w14:textId="77777777" w:rsidTr="00121CC9">
        <w:tc>
          <w:tcPr>
            <w:tcW w:w="4675" w:type="dxa"/>
            <w:shd w:val="clear" w:color="auto" w:fill="FFF2CC" w:themeFill="accent4" w:themeFillTint="33"/>
          </w:tcPr>
          <w:p w14:paraId="44556DFC" w14:textId="77777777" w:rsidR="004B37D3" w:rsidRPr="00513BF4" w:rsidRDefault="004B37D3" w:rsidP="00121CC9">
            <w:pPr>
              <w:jc w:val="both"/>
              <w:rPr>
                <w:sz w:val="20"/>
                <w:szCs w:val="20"/>
                <w:lang w:val="en-GB"/>
              </w:rPr>
            </w:pPr>
            <w:r w:rsidRPr="00513BF4">
              <w:rPr>
                <w:b/>
                <w:bCs/>
                <w:sz w:val="20"/>
                <w:szCs w:val="20"/>
                <w:lang w:val="en-GB"/>
              </w:rPr>
              <w:t xml:space="preserve">Programme and duration: </w:t>
            </w:r>
            <w:r w:rsidRPr="00513BF4">
              <w:rPr>
                <w:sz w:val="20"/>
                <w:szCs w:val="20"/>
                <w:lang w:val="en-GB"/>
              </w:rPr>
              <w:t>Shock-responsive safety net pilot, 2019-2021</w:t>
            </w:r>
          </w:p>
        </w:tc>
        <w:tc>
          <w:tcPr>
            <w:tcW w:w="4675" w:type="dxa"/>
            <w:shd w:val="clear" w:color="auto" w:fill="FFF2CC" w:themeFill="accent4" w:themeFillTint="33"/>
          </w:tcPr>
          <w:p w14:paraId="1C6924EE" w14:textId="77777777" w:rsidR="004B37D3" w:rsidRPr="00513BF4" w:rsidRDefault="004B37D3" w:rsidP="00121CC9">
            <w:pPr>
              <w:jc w:val="both"/>
              <w:rPr>
                <w:b/>
                <w:bCs/>
                <w:sz w:val="20"/>
                <w:szCs w:val="20"/>
                <w:lang w:val="en-GB"/>
              </w:rPr>
            </w:pPr>
            <w:r w:rsidRPr="00513BF4">
              <w:rPr>
                <w:b/>
                <w:bCs/>
                <w:sz w:val="20"/>
                <w:szCs w:val="20"/>
                <w:lang w:val="en-GB"/>
              </w:rPr>
              <w:t xml:space="preserve">Documents reviewed: </w:t>
            </w:r>
            <w:r w:rsidRPr="00513BF4">
              <w:rPr>
                <w:sz w:val="20"/>
                <w:szCs w:val="20"/>
                <w:lang w:val="en-GB"/>
              </w:rPr>
              <w:t>Concept note, Minimum package for health and nutrition, nutrition lens guide</w:t>
            </w:r>
          </w:p>
        </w:tc>
      </w:tr>
      <w:tr w:rsidR="004B37D3" w:rsidRPr="00513BF4" w14:paraId="0DDCA44B" w14:textId="77777777" w:rsidTr="00121CC9">
        <w:tc>
          <w:tcPr>
            <w:tcW w:w="9350" w:type="dxa"/>
            <w:gridSpan w:val="2"/>
            <w:shd w:val="clear" w:color="auto" w:fill="FFF2CC" w:themeFill="accent4" w:themeFillTint="33"/>
          </w:tcPr>
          <w:p w14:paraId="765DF714" w14:textId="77777777" w:rsidR="004B37D3" w:rsidRPr="00513BF4" w:rsidRDefault="004B37D3" w:rsidP="00121CC9">
            <w:pPr>
              <w:jc w:val="both"/>
              <w:rPr>
                <w:sz w:val="20"/>
                <w:szCs w:val="20"/>
                <w:lang w:val="en-GB"/>
              </w:rPr>
            </w:pPr>
            <w:r w:rsidRPr="00513BF4">
              <w:rPr>
                <w:b/>
                <w:bCs/>
                <w:sz w:val="20"/>
                <w:szCs w:val="20"/>
                <w:lang w:val="en-GB"/>
              </w:rPr>
              <w:t>Intervention</w:t>
            </w:r>
            <w:r w:rsidRPr="00513BF4">
              <w:rPr>
                <w:sz w:val="20"/>
                <w:szCs w:val="20"/>
                <w:lang w:val="en-GB"/>
              </w:rPr>
              <w:t xml:space="preserve">: The programme implemented by the </w:t>
            </w:r>
            <w:proofErr w:type="spellStart"/>
            <w:r w:rsidRPr="00513BF4">
              <w:rPr>
                <w:sz w:val="20"/>
                <w:szCs w:val="20"/>
                <w:lang w:val="en-GB"/>
              </w:rPr>
              <w:t>BRCiS</w:t>
            </w:r>
            <w:proofErr w:type="spellEnd"/>
            <w:r w:rsidRPr="00513BF4">
              <w:rPr>
                <w:sz w:val="20"/>
                <w:szCs w:val="20"/>
                <w:lang w:val="en-GB"/>
              </w:rPr>
              <w:t xml:space="preserve"> consortium provides a package of interventions with the aim to promote the resilience of rural populations that are likely to be displaced by drought and/or urban IDP populations. It operates in 16 districts across Somalia aiming to target 2146 households in total. Households are selected through community-based targeting using Community Resilience Committees. The first component of the package consists of unconditional cash transfers of USD 20 per household per month that are provided over 24 months. The programme allows for a vertical expansion up to USD 40 per household per month. The cash component is implemented alongside a minimum package of health and nutrition intervention.</w:t>
            </w:r>
          </w:p>
        </w:tc>
      </w:tr>
      <w:tr w:rsidR="004B37D3" w:rsidRPr="00513BF4" w14:paraId="23EDFD54" w14:textId="77777777" w:rsidTr="00121CC9">
        <w:tc>
          <w:tcPr>
            <w:tcW w:w="9350" w:type="dxa"/>
            <w:gridSpan w:val="2"/>
            <w:shd w:val="clear" w:color="auto" w:fill="FFF2CC" w:themeFill="accent4" w:themeFillTint="33"/>
          </w:tcPr>
          <w:p w14:paraId="6497859E" w14:textId="2BC94FC5" w:rsidR="004B37D3" w:rsidRPr="00513BF4" w:rsidRDefault="004B37D3" w:rsidP="00121CC9">
            <w:pPr>
              <w:jc w:val="both"/>
              <w:rPr>
                <w:sz w:val="20"/>
                <w:szCs w:val="20"/>
                <w:lang w:val="en-GB"/>
              </w:rPr>
            </w:pPr>
            <w:r w:rsidRPr="00513BF4">
              <w:rPr>
                <w:b/>
                <w:bCs/>
                <w:sz w:val="20"/>
                <w:szCs w:val="20"/>
                <w:lang w:val="en-GB"/>
              </w:rPr>
              <w:t>Results and learning</w:t>
            </w:r>
            <w:r w:rsidRPr="00513BF4">
              <w:rPr>
                <w:sz w:val="20"/>
                <w:szCs w:val="20"/>
                <w:lang w:val="en-GB"/>
              </w:rPr>
              <w:t xml:space="preserve">: </w:t>
            </w:r>
            <w:r w:rsidR="009C02EF">
              <w:rPr>
                <w:sz w:val="20"/>
                <w:szCs w:val="20"/>
                <w:lang w:val="en-GB"/>
              </w:rPr>
              <w:t>NA</w:t>
            </w:r>
          </w:p>
        </w:tc>
      </w:tr>
      <w:bookmarkEnd w:id="16"/>
    </w:tbl>
    <w:p w14:paraId="0DDFC65D" w14:textId="77777777" w:rsidR="004B37D3" w:rsidRPr="00513BF4" w:rsidRDefault="004B37D3" w:rsidP="00F906B4">
      <w:pPr>
        <w:jc w:val="both"/>
        <w:rPr>
          <w:lang w:val="en-GB"/>
        </w:rPr>
      </w:pPr>
    </w:p>
    <w:tbl>
      <w:tblPr>
        <w:tblStyle w:val="TableGrid"/>
        <w:tblW w:w="0" w:type="auto"/>
        <w:shd w:val="clear" w:color="auto" w:fill="FFF2CC" w:themeFill="accent4" w:themeFillTint="33"/>
        <w:tblLook w:val="04A0" w:firstRow="1" w:lastRow="0" w:firstColumn="1" w:lastColumn="0" w:noHBand="0" w:noVBand="1"/>
      </w:tblPr>
      <w:tblGrid>
        <w:gridCol w:w="4675"/>
        <w:gridCol w:w="4675"/>
      </w:tblGrid>
      <w:tr w:rsidR="00ED6DD3" w:rsidRPr="00513BF4" w14:paraId="4CA213AE" w14:textId="77777777" w:rsidTr="00904F8F">
        <w:tc>
          <w:tcPr>
            <w:tcW w:w="4675" w:type="dxa"/>
            <w:shd w:val="clear" w:color="auto" w:fill="FFF2CC" w:themeFill="accent4" w:themeFillTint="33"/>
          </w:tcPr>
          <w:p w14:paraId="5000739C" w14:textId="77777777" w:rsidR="00ED6DD3" w:rsidRPr="00513BF4" w:rsidRDefault="00ED6DD3" w:rsidP="00F906B4">
            <w:pPr>
              <w:jc w:val="both"/>
              <w:rPr>
                <w:b/>
                <w:bCs/>
                <w:sz w:val="20"/>
                <w:szCs w:val="20"/>
                <w:lang w:val="en-GB"/>
              </w:rPr>
            </w:pPr>
            <w:r w:rsidRPr="00513BF4">
              <w:rPr>
                <w:b/>
                <w:bCs/>
                <w:sz w:val="20"/>
                <w:szCs w:val="20"/>
                <w:lang w:val="en-GB"/>
              </w:rPr>
              <w:t xml:space="preserve">Organisation: </w:t>
            </w:r>
            <w:r w:rsidRPr="00513BF4">
              <w:rPr>
                <w:sz w:val="20"/>
                <w:szCs w:val="20"/>
                <w:lang w:val="en-GB"/>
              </w:rPr>
              <w:t>World Food Programme</w:t>
            </w:r>
          </w:p>
        </w:tc>
        <w:tc>
          <w:tcPr>
            <w:tcW w:w="4675" w:type="dxa"/>
            <w:shd w:val="clear" w:color="auto" w:fill="FFF2CC" w:themeFill="accent4" w:themeFillTint="33"/>
          </w:tcPr>
          <w:p w14:paraId="3C601212" w14:textId="77777777" w:rsidR="00ED6DD3" w:rsidRPr="00513BF4" w:rsidRDefault="00ED6DD3" w:rsidP="00F906B4">
            <w:pPr>
              <w:jc w:val="both"/>
              <w:rPr>
                <w:rFonts w:cstheme="minorHAnsi"/>
                <w:sz w:val="20"/>
                <w:szCs w:val="20"/>
                <w:lang w:val="en-GB"/>
              </w:rPr>
            </w:pPr>
            <w:r w:rsidRPr="00513BF4">
              <w:rPr>
                <w:b/>
                <w:bCs/>
                <w:sz w:val="20"/>
                <w:szCs w:val="20"/>
                <w:lang w:val="en-GB"/>
              </w:rPr>
              <w:t xml:space="preserve">Location: </w:t>
            </w:r>
            <w:r w:rsidRPr="00513BF4">
              <w:rPr>
                <w:sz w:val="20"/>
                <w:szCs w:val="20"/>
                <w:lang w:val="en-GB"/>
              </w:rPr>
              <w:t>Somalia</w:t>
            </w:r>
          </w:p>
        </w:tc>
      </w:tr>
      <w:tr w:rsidR="00ED6DD3" w:rsidRPr="00513BF4" w14:paraId="7E0B2C31" w14:textId="77777777" w:rsidTr="00904F8F">
        <w:tc>
          <w:tcPr>
            <w:tcW w:w="4675" w:type="dxa"/>
            <w:shd w:val="clear" w:color="auto" w:fill="FFF2CC" w:themeFill="accent4" w:themeFillTint="33"/>
          </w:tcPr>
          <w:p w14:paraId="00D9DD92" w14:textId="77777777" w:rsidR="00ED6DD3" w:rsidRPr="00513BF4" w:rsidRDefault="00ED6DD3" w:rsidP="00F906B4">
            <w:pPr>
              <w:jc w:val="both"/>
              <w:rPr>
                <w:b/>
                <w:bCs/>
                <w:sz w:val="20"/>
                <w:szCs w:val="20"/>
                <w:lang w:val="en-GB"/>
              </w:rPr>
            </w:pPr>
            <w:r w:rsidRPr="00513BF4">
              <w:rPr>
                <w:b/>
                <w:bCs/>
                <w:sz w:val="20"/>
                <w:szCs w:val="20"/>
                <w:lang w:val="en-GB"/>
              </w:rPr>
              <w:t xml:space="preserve">Programme and duration: </w:t>
            </w:r>
            <w:r w:rsidRPr="00513BF4">
              <w:rPr>
                <w:sz w:val="20"/>
                <w:szCs w:val="20"/>
                <w:lang w:val="en-GB"/>
              </w:rPr>
              <w:t>e-vegetable programme</w:t>
            </w:r>
            <w:r w:rsidRPr="00513BF4">
              <w:rPr>
                <w:b/>
                <w:bCs/>
                <w:sz w:val="20"/>
                <w:szCs w:val="20"/>
                <w:lang w:val="en-GB"/>
              </w:rPr>
              <w:t xml:space="preserve"> </w:t>
            </w:r>
            <w:r w:rsidRPr="00513BF4">
              <w:rPr>
                <w:sz w:val="20"/>
                <w:szCs w:val="20"/>
                <w:lang w:val="en-GB"/>
              </w:rPr>
              <w:t>Fresh food vouchers, 2016-ongoing</w:t>
            </w:r>
          </w:p>
        </w:tc>
        <w:tc>
          <w:tcPr>
            <w:tcW w:w="4675" w:type="dxa"/>
            <w:shd w:val="clear" w:color="auto" w:fill="FFF2CC" w:themeFill="accent4" w:themeFillTint="33"/>
          </w:tcPr>
          <w:p w14:paraId="4115D7F8" w14:textId="77777777" w:rsidR="00ED6DD3" w:rsidRPr="00513BF4" w:rsidRDefault="00ED6DD3" w:rsidP="00F906B4">
            <w:pPr>
              <w:jc w:val="both"/>
              <w:rPr>
                <w:b/>
                <w:bCs/>
                <w:sz w:val="20"/>
                <w:szCs w:val="20"/>
                <w:lang w:val="en-GB"/>
              </w:rPr>
            </w:pPr>
            <w:r w:rsidRPr="00513BF4">
              <w:rPr>
                <w:b/>
                <w:bCs/>
                <w:sz w:val="20"/>
                <w:szCs w:val="20"/>
                <w:lang w:val="en-GB"/>
              </w:rPr>
              <w:t xml:space="preserve">Documents reviewed: </w:t>
            </w:r>
            <w:r w:rsidRPr="00513BF4">
              <w:rPr>
                <w:sz w:val="20"/>
                <w:szCs w:val="20"/>
                <w:lang w:val="en-GB"/>
              </w:rPr>
              <w:t>Inputs from project team</w:t>
            </w:r>
          </w:p>
        </w:tc>
      </w:tr>
      <w:tr w:rsidR="00ED6DD3" w:rsidRPr="00513BF4" w14:paraId="021E4C64" w14:textId="77777777" w:rsidTr="00904F8F">
        <w:tc>
          <w:tcPr>
            <w:tcW w:w="9350" w:type="dxa"/>
            <w:gridSpan w:val="2"/>
            <w:shd w:val="clear" w:color="auto" w:fill="FFF2CC" w:themeFill="accent4" w:themeFillTint="33"/>
          </w:tcPr>
          <w:p w14:paraId="0DAB5D13" w14:textId="620718AC" w:rsidR="00ED6DD3" w:rsidRPr="00513BF4" w:rsidRDefault="00ED6DD3" w:rsidP="00F906B4">
            <w:pPr>
              <w:jc w:val="both"/>
              <w:rPr>
                <w:sz w:val="20"/>
                <w:szCs w:val="20"/>
                <w:lang w:val="en-GB"/>
              </w:rPr>
            </w:pPr>
            <w:r w:rsidRPr="00513BF4">
              <w:rPr>
                <w:b/>
                <w:bCs/>
                <w:sz w:val="20"/>
                <w:szCs w:val="20"/>
                <w:lang w:val="en-GB"/>
              </w:rPr>
              <w:t>Intervention</w:t>
            </w:r>
            <w:r w:rsidRPr="00513BF4">
              <w:rPr>
                <w:sz w:val="20"/>
                <w:szCs w:val="20"/>
                <w:lang w:val="en-GB"/>
              </w:rPr>
              <w:t>: WFP started to use f</w:t>
            </w:r>
            <w:r w:rsidRPr="003E67D8">
              <w:rPr>
                <w:sz w:val="20"/>
                <w:szCs w:val="20"/>
                <w:lang w:val="en-GB"/>
              </w:rPr>
              <w:t xml:space="preserve">resh food vouchers to assist pregnant and lactating women in 2016.  FFV (e-vegetables) are provided </w:t>
            </w:r>
            <w:r w:rsidR="003E67D8" w:rsidRPr="003E67D8">
              <w:rPr>
                <w:sz w:val="20"/>
                <w:szCs w:val="20"/>
                <w:lang w:val="en-GB"/>
              </w:rPr>
              <w:t>together with specialized nutrition products (</w:t>
            </w:r>
            <w:proofErr w:type="spellStart"/>
            <w:r w:rsidR="003E67D8" w:rsidRPr="003E67D8">
              <w:rPr>
                <w:sz w:val="20"/>
                <w:szCs w:val="20"/>
              </w:rPr>
              <w:t>Plumpy</w:t>
            </w:r>
            <w:proofErr w:type="spellEnd"/>
            <w:r w:rsidR="003E67D8" w:rsidRPr="003E67D8">
              <w:rPr>
                <w:sz w:val="20"/>
                <w:szCs w:val="20"/>
              </w:rPr>
              <w:t xml:space="preserve"> </w:t>
            </w:r>
            <w:proofErr w:type="spellStart"/>
            <w:r w:rsidR="003E67D8" w:rsidRPr="003E67D8">
              <w:rPr>
                <w:sz w:val="20"/>
                <w:szCs w:val="20"/>
              </w:rPr>
              <w:t>doz</w:t>
            </w:r>
            <w:proofErr w:type="spellEnd"/>
            <w:r w:rsidR="003E67D8" w:rsidRPr="003E67D8">
              <w:rPr>
                <w:sz w:val="20"/>
                <w:szCs w:val="20"/>
              </w:rPr>
              <w:t xml:space="preserve"> for children under two and super cereal plus for PLW)</w:t>
            </w:r>
            <w:r w:rsidRPr="00513BF4">
              <w:rPr>
                <w:sz w:val="20"/>
                <w:szCs w:val="20"/>
                <w:lang w:val="en-GB"/>
              </w:rPr>
              <w:t xml:space="preserve"> during pregnancy and until 6 months after the delivery (PLW). They aim to diversity diets and behaviour change. Voucher assistance is conditional on the attendance to Mother and Child Health and Nutrition (MCHN) centres, where women receive preventative health services (including ANC, PNC, growth monitoring and immunization) as well as nutrition alongside social behaviour change communication (SBCC) on health, nutrition and diet diversity.</w:t>
            </w:r>
          </w:p>
        </w:tc>
      </w:tr>
      <w:tr w:rsidR="00ED6DD3" w:rsidRPr="00513BF4" w14:paraId="4C0B9028" w14:textId="77777777" w:rsidTr="00904F8F">
        <w:tc>
          <w:tcPr>
            <w:tcW w:w="9350" w:type="dxa"/>
            <w:gridSpan w:val="2"/>
            <w:shd w:val="clear" w:color="auto" w:fill="FFF2CC" w:themeFill="accent4" w:themeFillTint="33"/>
          </w:tcPr>
          <w:p w14:paraId="5F654B6D" w14:textId="77777777" w:rsidR="00ED6DD3" w:rsidRPr="00513BF4" w:rsidRDefault="00ED6DD3" w:rsidP="00F906B4">
            <w:pPr>
              <w:jc w:val="both"/>
              <w:rPr>
                <w:sz w:val="20"/>
                <w:szCs w:val="20"/>
                <w:lang w:val="en-GB"/>
              </w:rPr>
            </w:pPr>
            <w:r w:rsidRPr="00513BF4">
              <w:rPr>
                <w:b/>
                <w:bCs/>
                <w:sz w:val="20"/>
                <w:szCs w:val="20"/>
                <w:lang w:val="en-GB"/>
              </w:rPr>
              <w:t>Results and learning</w:t>
            </w:r>
            <w:r w:rsidRPr="00513BF4">
              <w:rPr>
                <w:sz w:val="20"/>
                <w:szCs w:val="20"/>
                <w:lang w:val="en-GB"/>
              </w:rPr>
              <w:t>: The latest Post-Distribution Monitoring (PDM) from November 2019 on the e-vegetable programme for pregnant women enrolled in the MCHN intervention suggests 23.7 percent of children 6-23 months consumed minimum acceptable diet that is  higher than the national MAD rate of 9 percent (Somalia Infant and Young Child Nutrition Assessment, 2016). The survey results also revealed that 68% of women met the minimum dietary diversity (MDD-W) threshold of having consumed more than 5 food groups out of 10 in the past 24 hours (excluding fortified foods).</w:t>
            </w:r>
            <w:bookmarkStart w:id="17" w:name="_GoBack"/>
            <w:bookmarkEnd w:id="17"/>
          </w:p>
        </w:tc>
      </w:tr>
    </w:tbl>
    <w:p w14:paraId="11CA836F" w14:textId="68360A93" w:rsidR="003268F5" w:rsidRPr="00513BF4" w:rsidRDefault="003268F5" w:rsidP="00F906B4">
      <w:pPr>
        <w:jc w:val="both"/>
        <w:rPr>
          <w:lang w:val="en-GB"/>
        </w:rPr>
      </w:pPr>
    </w:p>
    <w:tbl>
      <w:tblPr>
        <w:tblpPr w:leftFromText="141" w:rightFromText="141"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CellMar>
          <w:left w:w="0" w:type="dxa"/>
          <w:right w:w="0" w:type="dxa"/>
        </w:tblCellMar>
        <w:tblLook w:val="04A0" w:firstRow="1" w:lastRow="0" w:firstColumn="1" w:lastColumn="0" w:noHBand="0" w:noVBand="1"/>
      </w:tblPr>
      <w:tblGrid>
        <w:gridCol w:w="4675"/>
        <w:gridCol w:w="4675"/>
      </w:tblGrid>
      <w:tr w:rsidR="00B35861" w:rsidRPr="00513BF4" w14:paraId="470F2C69" w14:textId="77777777" w:rsidTr="0005181B">
        <w:tc>
          <w:tcPr>
            <w:tcW w:w="4675" w:type="dxa"/>
            <w:shd w:val="clear" w:color="auto" w:fill="FFF2CC"/>
            <w:tcMar>
              <w:top w:w="0" w:type="dxa"/>
              <w:left w:w="108" w:type="dxa"/>
              <w:bottom w:w="0" w:type="dxa"/>
              <w:right w:w="108" w:type="dxa"/>
            </w:tcMar>
            <w:hideMark/>
          </w:tcPr>
          <w:p w14:paraId="0D866722" w14:textId="77777777" w:rsidR="00B35861" w:rsidRPr="00513BF4" w:rsidRDefault="00B35861" w:rsidP="00F906B4">
            <w:pPr>
              <w:spacing w:after="0"/>
              <w:jc w:val="both"/>
              <w:rPr>
                <w:lang w:val="en-GB"/>
              </w:rPr>
            </w:pPr>
            <w:r w:rsidRPr="00513BF4">
              <w:rPr>
                <w:b/>
                <w:bCs/>
                <w:sz w:val="20"/>
                <w:szCs w:val="20"/>
                <w:lang w:val="en-GB"/>
              </w:rPr>
              <w:t xml:space="preserve">Organisation: </w:t>
            </w:r>
            <w:r w:rsidRPr="00513BF4">
              <w:rPr>
                <w:sz w:val="20"/>
                <w:szCs w:val="20"/>
                <w:lang w:val="en-GB"/>
              </w:rPr>
              <w:t>ICRC</w:t>
            </w:r>
          </w:p>
        </w:tc>
        <w:tc>
          <w:tcPr>
            <w:tcW w:w="4675" w:type="dxa"/>
            <w:shd w:val="clear" w:color="auto" w:fill="FFF2CC"/>
            <w:tcMar>
              <w:top w:w="0" w:type="dxa"/>
              <w:left w:w="108" w:type="dxa"/>
              <w:bottom w:w="0" w:type="dxa"/>
              <w:right w:w="108" w:type="dxa"/>
            </w:tcMar>
            <w:hideMark/>
          </w:tcPr>
          <w:p w14:paraId="782F3B9F" w14:textId="77777777" w:rsidR="00B35861" w:rsidRPr="00513BF4" w:rsidRDefault="00B35861" w:rsidP="00F906B4">
            <w:pPr>
              <w:spacing w:after="0"/>
              <w:jc w:val="both"/>
              <w:rPr>
                <w:lang w:val="en-GB"/>
              </w:rPr>
            </w:pPr>
            <w:r w:rsidRPr="00513BF4">
              <w:rPr>
                <w:b/>
                <w:bCs/>
                <w:sz w:val="20"/>
                <w:szCs w:val="20"/>
                <w:lang w:val="en-GB"/>
              </w:rPr>
              <w:t xml:space="preserve">Location: </w:t>
            </w:r>
            <w:r w:rsidRPr="00513BF4">
              <w:rPr>
                <w:sz w:val="20"/>
                <w:szCs w:val="20"/>
                <w:lang w:val="en-GB"/>
              </w:rPr>
              <w:t>Somalia</w:t>
            </w:r>
          </w:p>
        </w:tc>
      </w:tr>
      <w:tr w:rsidR="00B35861" w:rsidRPr="00513BF4" w14:paraId="6732092C" w14:textId="77777777" w:rsidTr="0005181B">
        <w:tc>
          <w:tcPr>
            <w:tcW w:w="4675" w:type="dxa"/>
            <w:shd w:val="clear" w:color="auto" w:fill="FFF2CC"/>
            <w:tcMar>
              <w:top w:w="0" w:type="dxa"/>
              <w:left w:w="108" w:type="dxa"/>
              <w:bottom w:w="0" w:type="dxa"/>
              <w:right w:w="108" w:type="dxa"/>
            </w:tcMar>
            <w:hideMark/>
          </w:tcPr>
          <w:p w14:paraId="2C27967B" w14:textId="10EF1EBB" w:rsidR="00B35861" w:rsidRPr="00513BF4" w:rsidRDefault="00B35861" w:rsidP="00F906B4">
            <w:pPr>
              <w:spacing w:after="0"/>
              <w:jc w:val="both"/>
              <w:rPr>
                <w:lang w:val="en-GB"/>
              </w:rPr>
            </w:pPr>
            <w:r w:rsidRPr="00513BF4">
              <w:rPr>
                <w:b/>
                <w:bCs/>
                <w:sz w:val="20"/>
                <w:szCs w:val="20"/>
                <w:lang w:val="en-GB"/>
              </w:rPr>
              <w:t xml:space="preserve">Programme and duration: </w:t>
            </w:r>
            <w:r w:rsidR="00200D0E" w:rsidRPr="00513BF4">
              <w:rPr>
                <w:sz w:val="20"/>
                <w:szCs w:val="20"/>
                <w:lang w:val="en-GB"/>
              </w:rPr>
              <w:t xml:space="preserve">Commodity vouchers plus </w:t>
            </w:r>
            <w:r w:rsidR="00B073A3" w:rsidRPr="00513BF4">
              <w:rPr>
                <w:sz w:val="20"/>
                <w:szCs w:val="20"/>
                <w:lang w:val="en-GB"/>
              </w:rPr>
              <w:t>SC</w:t>
            </w:r>
            <w:r w:rsidR="00200D0E" w:rsidRPr="00513BF4">
              <w:rPr>
                <w:sz w:val="20"/>
                <w:szCs w:val="20"/>
                <w:lang w:val="en-GB"/>
              </w:rPr>
              <w:t xml:space="preserve"> to prevent deterioration in the nutrition situation, </w:t>
            </w:r>
            <w:r w:rsidRPr="00513BF4">
              <w:rPr>
                <w:sz w:val="20"/>
                <w:szCs w:val="20"/>
                <w:lang w:val="en-GB"/>
              </w:rPr>
              <w:t>September 2017-May 2018</w:t>
            </w:r>
          </w:p>
        </w:tc>
        <w:tc>
          <w:tcPr>
            <w:tcW w:w="4675" w:type="dxa"/>
            <w:shd w:val="clear" w:color="auto" w:fill="FFF2CC"/>
            <w:tcMar>
              <w:top w:w="0" w:type="dxa"/>
              <w:left w:w="108" w:type="dxa"/>
              <w:bottom w:w="0" w:type="dxa"/>
              <w:right w:w="108" w:type="dxa"/>
            </w:tcMar>
            <w:hideMark/>
          </w:tcPr>
          <w:p w14:paraId="05C4BA77" w14:textId="77777777" w:rsidR="00B35861" w:rsidRPr="00513BF4" w:rsidRDefault="00B35861" w:rsidP="00F906B4">
            <w:pPr>
              <w:spacing w:after="0"/>
              <w:jc w:val="both"/>
              <w:rPr>
                <w:sz w:val="20"/>
                <w:szCs w:val="20"/>
                <w:lang w:val="en-GB"/>
              </w:rPr>
            </w:pPr>
            <w:r w:rsidRPr="00513BF4">
              <w:rPr>
                <w:b/>
                <w:bCs/>
                <w:sz w:val="20"/>
                <w:szCs w:val="20"/>
                <w:lang w:val="en-GB"/>
              </w:rPr>
              <w:t xml:space="preserve">Documents reviewed: </w:t>
            </w:r>
            <w:r w:rsidRPr="00513BF4">
              <w:rPr>
                <w:sz w:val="20"/>
                <w:szCs w:val="20"/>
                <w:lang w:val="en-GB"/>
              </w:rPr>
              <w:t>Learning document (ICRC, 2018)</w:t>
            </w:r>
          </w:p>
        </w:tc>
      </w:tr>
      <w:tr w:rsidR="00B35861" w:rsidRPr="00513BF4" w14:paraId="03915B93" w14:textId="77777777" w:rsidTr="0005181B">
        <w:tc>
          <w:tcPr>
            <w:tcW w:w="9350" w:type="dxa"/>
            <w:gridSpan w:val="2"/>
            <w:shd w:val="clear" w:color="auto" w:fill="FFF2CC"/>
            <w:tcMar>
              <w:top w:w="0" w:type="dxa"/>
              <w:left w:w="108" w:type="dxa"/>
              <w:bottom w:w="0" w:type="dxa"/>
              <w:right w:w="108" w:type="dxa"/>
            </w:tcMar>
            <w:hideMark/>
          </w:tcPr>
          <w:p w14:paraId="0596C1B1" w14:textId="77777777" w:rsidR="00B35861" w:rsidRPr="00513BF4" w:rsidRDefault="00B35861" w:rsidP="00F906B4">
            <w:pPr>
              <w:spacing w:after="0"/>
              <w:jc w:val="both"/>
              <w:rPr>
                <w:lang w:val="en-GB"/>
              </w:rPr>
            </w:pPr>
            <w:r w:rsidRPr="00513BF4">
              <w:rPr>
                <w:b/>
                <w:bCs/>
                <w:sz w:val="20"/>
                <w:szCs w:val="20"/>
                <w:lang w:val="en-GB"/>
              </w:rPr>
              <w:t xml:space="preserve">Intervention: </w:t>
            </w:r>
            <w:r w:rsidRPr="00513BF4">
              <w:rPr>
                <w:sz w:val="20"/>
                <w:szCs w:val="20"/>
                <w:lang w:val="en-GB"/>
              </w:rPr>
              <w:t>To prevent further deterioration in the nutrition situation and reduce malnutrition prevalence, the ICRC designed a two-phase intervention using an unconditional cash transfers, food vouchers and SNF. In the first phase (December 2017), a SMART Nutrition Survey was conducted to evaluate the nutritional status of the IDPs in a targeted location. The results showed that the prevalence of Global Acute Malnutrition required additional nutritional support for the population and all eligible households received an unconditional cash transfer of $200 plus BP5 (12 small boxes) for the 1st round (December 2017). For the 2</w:t>
            </w:r>
            <w:r w:rsidRPr="00513BF4">
              <w:rPr>
                <w:sz w:val="20"/>
                <w:szCs w:val="20"/>
                <w:vertAlign w:val="superscript"/>
                <w:lang w:val="en-GB"/>
              </w:rPr>
              <w:t>nd</w:t>
            </w:r>
            <w:r w:rsidRPr="00513BF4">
              <w:rPr>
                <w:sz w:val="20"/>
                <w:szCs w:val="20"/>
                <w:lang w:val="en-GB"/>
              </w:rPr>
              <w:t xml:space="preserve"> and 3</w:t>
            </w:r>
            <w:r w:rsidRPr="00513BF4">
              <w:rPr>
                <w:sz w:val="20"/>
                <w:szCs w:val="20"/>
                <w:vertAlign w:val="superscript"/>
                <w:lang w:val="en-GB"/>
              </w:rPr>
              <w:t>rd</w:t>
            </w:r>
            <w:r w:rsidRPr="00513BF4">
              <w:rPr>
                <w:sz w:val="20"/>
                <w:szCs w:val="20"/>
                <w:lang w:val="en-GB"/>
              </w:rPr>
              <w:t xml:space="preserve"> rounds (February and March 2018), all households with children below 5 received a food commodity voucher and Super Cereal. In addition, </w:t>
            </w:r>
            <w:r w:rsidRPr="00513BF4">
              <w:rPr>
                <w:sz w:val="20"/>
                <w:szCs w:val="20"/>
                <w:lang w:val="en-GB"/>
              </w:rPr>
              <w:lastRenderedPageBreak/>
              <w:t xml:space="preserve">children who were found suffer from SAM were referred for treatment at a mobile Outpatient Therapeutic Program (OTP) run by the Health Unit and the Somali Red Crescent. The combination of commodity vouchers plus SC distribution was </w:t>
            </w:r>
            <w:proofErr w:type="gramStart"/>
            <w:r w:rsidRPr="00513BF4">
              <w:rPr>
                <w:sz w:val="20"/>
                <w:szCs w:val="20"/>
                <w:lang w:val="en-GB"/>
              </w:rPr>
              <w:t>later on</w:t>
            </w:r>
            <w:proofErr w:type="gramEnd"/>
            <w:r w:rsidRPr="00513BF4">
              <w:rPr>
                <w:sz w:val="20"/>
                <w:szCs w:val="20"/>
                <w:lang w:val="en-GB"/>
              </w:rPr>
              <w:t xml:space="preserve"> replicated in other regions in Somalia.</w:t>
            </w:r>
          </w:p>
        </w:tc>
      </w:tr>
      <w:tr w:rsidR="00B35861" w:rsidRPr="00513BF4" w14:paraId="23161320" w14:textId="77777777" w:rsidTr="0005181B">
        <w:tc>
          <w:tcPr>
            <w:tcW w:w="9350" w:type="dxa"/>
            <w:gridSpan w:val="2"/>
            <w:shd w:val="clear" w:color="auto" w:fill="FFF2CC"/>
            <w:tcMar>
              <w:top w:w="0" w:type="dxa"/>
              <w:left w:w="108" w:type="dxa"/>
              <w:bottom w:w="0" w:type="dxa"/>
              <w:right w:w="108" w:type="dxa"/>
            </w:tcMar>
            <w:hideMark/>
          </w:tcPr>
          <w:p w14:paraId="7A72D9AF" w14:textId="77777777" w:rsidR="00B35861" w:rsidRPr="00513BF4" w:rsidRDefault="00B35861" w:rsidP="00F906B4">
            <w:pPr>
              <w:spacing w:after="0"/>
              <w:jc w:val="both"/>
              <w:rPr>
                <w:lang w:val="en-GB"/>
              </w:rPr>
            </w:pPr>
            <w:r w:rsidRPr="00513BF4">
              <w:rPr>
                <w:b/>
                <w:bCs/>
                <w:sz w:val="20"/>
                <w:szCs w:val="20"/>
                <w:lang w:val="en-GB"/>
              </w:rPr>
              <w:lastRenderedPageBreak/>
              <w:t>Results and learning</w:t>
            </w:r>
            <w:r w:rsidRPr="00513BF4">
              <w:rPr>
                <w:sz w:val="20"/>
                <w:szCs w:val="20"/>
                <w:lang w:val="en-GB"/>
              </w:rPr>
              <w:t xml:space="preserve">: Two months </w:t>
            </w:r>
            <w:r w:rsidRPr="00513BF4">
              <w:rPr>
                <w:lang w:val="en-GB"/>
              </w:rPr>
              <w:t>after</w:t>
            </w:r>
            <w:r w:rsidRPr="00513BF4">
              <w:rPr>
                <w:sz w:val="20"/>
                <w:szCs w:val="20"/>
                <w:lang w:val="en-GB"/>
              </w:rPr>
              <w:t xml:space="preserve"> the third round of assistance, ICRC conducted a second SMART nutrition survey (May 2018) targeting the same population. The results showed an improvement of the GAM rate, especially for SAM. PDM from subsequent interventions using commodity vouchers and SC confirmed the positive impact on GAM prevalence. In the context of Somalia, food commodity vouchers have proven to be an effective tool to reduce the prevalence of malnutrition. This is particularly true where malnutrition is the result of an inadequate diet due to the loss or lack of income, and when the assistance is complemented with supplementary food, nutrition sensitization sessions and/or treatment of malnutrition.</w:t>
            </w:r>
          </w:p>
        </w:tc>
      </w:tr>
    </w:tbl>
    <w:p w14:paraId="6536D83F" w14:textId="6045CB82" w:rsidR="00ED6DD3" w:rsidRPr="00513BF4" w:rsidRDefault="00ED6DD3" w:rsidP="00F906B4">
      <w:pPr>
        <w:jc w:val="both"/>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CellMar>
          <w:left w:w="0" w:type="dxa"/>
          <w:right w:w="0" w:type="dxa"/>
        </w:tblCellMar>
        <w:tblLook w:val="04A0" w:firstRow="1" w:lastRow="0" w:firstColumn="1" w:lastColumn="0" w:noHBand="0" w:noVBand="1"/>
      </w:tblPr>
      <w:tblGrid>
        <w:gridCol w:w="4675"/>
        <w:gridCol w:w="4675"/>
      </w:tblGrid>
      <w:tr w:rsidR="004B37D3" w:rsidRPr="00513BF4" w14:paraId="70B8ACC9" w14:textId="77777777" w:rsidTr="00121CC9">
        <w:tc>
          <w:tcPr>
            <w:tcW w:w="4675" w:type="dxa"/>
            <w:shd w:val="clear" w:color="auto" w:fill="FFF2CC"/>
            <w:tcMar>
              <w:top w:w="0" w:type="dxa"/>
              <w:left w:w="108" w:type="dxa"/>
              <w:bottom w:w="0" w:type="dxa"/>
              <w:right w:w="108" w:type="dxa"/>
            </w:tcMar>
            <w:hideMark/>
          </w:tcPr>
          <w:p w14:paraId="1C65C483" w14:textId="77777777" w:rsidR="004B37D3" w:rsidRPr="00513BF4" w:rsidRDefault="004B37D3" w:rsidP="00121CC9">
            <w:pPr>
              <w:spacing w:after="0"/>
              <w:jc w:val="both"/>
              <w:rPr>
                <w:lang w:val="en-GB"/>
              </w:rPr>
            </w:pPr>
            <w:r w:rsidRPr="00513BF4">
              <w:rPr>
                <w:b/>
                <w:bCs/>
                <w:sz w:val="20"/>
                <w:szCs w:val="20"/>
                <w:lang w:val="en-GB"/>
              </w:rPr>
              <w:t xml:space="preserve">Organisation: </w:t>
            </w:r>
            <w:r w:rsidRPr="00513BF4">
              <w:rPr>
                <w:color w:val="000000"/>
                <w:sz w:val="20"/>
                <w:szCs w:val="20"/>
                <w:lang w:val="en-GB"/>
              </w:rPr>
              <w:t>ICRC</w:t>
            </w:r>
          </w:p>
        </w:tc>
        <w:tc>
          <w:tcPr>
            <w:tcW w:w="4675" w:type="dxa"/>
            <w:shd w:val="clear" w:color="auto" w:fill="FFF2CC"/>
            <w:tcMar>
              <w:top w:w="0" w:type="dxa"/>
              <w:left w:w="108" w:type="dxa"/>
              <w:bottom w:w="0" w:type="dxa"/>
              <w:right w:w="108" w:type="dxa"/>
            </w:tcMar>
            <w:hideMark/>
          </w:tcPr>
          <w:p w14:paraId="0730A864" w14:textId="77777777" w:rsidR="004B37D3" w:rsidRPr="00513BF4" w:rsidRDefault="004B37D3" w:rsidP="00121CC9">
            <w:pPr>
              <w:spacing w:after="0"/>
              <w:jc w:val="both"/>
              <w:rPr>
                <w:lang w:val="en-GB"/>
              </w:rPr>
            </w:pPr>
            <w:r w:rsidRPr="00513BF4">
              <w:rPr>
                <w:b/>
                <w:bCs/>
                <w:color w:val="000000"/>
                <w:sz w:val="20"/>
                <w:szCs w:val="20"/>
                <w:lang w:val="en-GB"/>
              </w:rPr>
              <w:t xml:space="preserve">Location: </w:t>
            </w:r>
            <w:r w:rsidRPr="00513BF4">
              <w:rPr>
                <w:color w:val="000000"/>
                <w:sz w:val="20"/>
                <w:szCs w:val="20"/>
                <w:lang w:val="en-GB"/>
              </w:rPr>
              <w:t>Somalia</w:t>
            </w:r>
          </w:p>
        </w:tc>
      </w:tr>
      <w:tr w:rsidR="004B37D3" w:rsidRPr="00513BF4" w14:paraId="1B5C94C4" w14:textId="77777777" w:rsidTr="00121CC9">
        <w:tc>
          <w:tcPr>
            <w:tcW w:w="4675" w:type="dxa"/>
            <w:shd w:val="clear" w:color="auto" w:fill="FFF2CC"/>
            <w:tcMar>
              <w:top w:w="0" w:type="dxa"/>
              <w:left w:w="108" w:type="dxa"/>
              <w:bottom w:w="0" w:type="dxa"/>
              <w:right w:w="108" w:type="dxa"/>
            </w:tcMar>
            <w:hideMark/>
          </w:tcPr>
          <w:p w14:paraId="77C99E84" w14:textId="77777777" w:rsidR="004B37D3" w:rsidRPr="00513BF4" w:rsidRDefault="004B37D3" w:rsidP="00121CC9">
            <w:pPr>
              <w:spacing w:after="0"/>
              <w:jc w:val="both"/>
              <w:rPr>
                <w:lang w:val="en-GB"/>
              </w:rPr>
            </w:pPr>
            <w:r w:rsidRPr="00513BF4">
              <w:rPr>
                <w:b/>
                <w:bCs/>
                <w:sz w:val="20"/>
                <w:szCs w:val="20"/>
                <w:lang w:val="en-GB"/>
              </w:rPr>
              <w:t xml:space="preserve">Programme and duration: </w:t>
            </w:r>
            <w:r w:rsidRPr="00513BF4">
              <w:rPr>
                <w:sz w:val="20"/>
                <w:szCs w:val="20"/>
                <w:lang w:val="en-GB"/>
              </w:rPr>
              <w:t>Cash transfers for caregivers of SAM children, July 2015-July 2018</w:t>
            </w:r>
          </w:p>
        </w:tc>
        <w:tc>
          <w:tcPr>
            <w:tcW w:w="4675" w:type="dxa"/>
            <w:shd w:val="clear" w:color="auto" w:fill="FFF2CC"/>
            <w:tcMar>
              <w:top w:w="0" w:type="dxa"/>
              <w:left w:w="108" w:type="dxa"/>
              <w:bottom w:w="0" w:type="dxa"/>
              <w:right w:w="108" w:type="dxa"/>
            </w:tcMar>
            <w:hideMark/>
          </w:tcPr>
          <w:p w14:paraId="0CD325C4" w14:textId="77777777" w:rsidR="004B37D3" w:rsidRPr="00513BF4" w:rsidRDefault="004B37D3" w:rsidP="00121CC9">
            <w:pPr>
              <w:spacing w:after="0"/>
              <w:jc w:val="both"/>
              <w:rPr>
                <w:b/>
                <w:bCs/>
                <w:sz w:val="20"/>
                <w:szCs w:val="20"/>
                <w:lang w:val="en-GB"/>
              </w:rPr>
            </w:pPr>
            <w:r w:rsidRPr="00513BF4">
              <w:rPr>
                <w:b/>
                <w:bCs/>
                <w:sz w:val="20"/>
                <w:szCs w:val="20"/>
                <w:lang w:val="en-GB"/>
              </w:rPr>
              <w:t>Documents reviewed:</w:t>
            </w:r>
            <w:r w:rsidRPr="00513BF4">
              <w:rPr>
                <w:sz w:val="20"/>
                <w:szCs w:val="20"/>
                <w:lang w:val="en-GB"/>
              </w:rPr>
              <w:t xml:space="preserve"> NA</w:t>
            </w:r>
          </w:p>
        </w:tc>
      </w:tr>
      <w:tr w:rsidR="004B37D3" w:rsidRPr="00513BF4" w14:paraId="7A37B58F" w14:textId="77777777" w:rsidTr="00121CC9">
        <w:tc>
          <w:tcPr>
            <w:tcW w:w="9350" w:type="dxa"/>
            <w:gridSpan w:val="2"/>
            <w:shd w:val="clear" w:color="auto" w:fill="FFF2CC"/>
            <w:tcMar>
              <w:top w:w="0" w:type="dxa"/>
              <w:left w:w="108" w:type="dxa"/>
              <w:bottom w:w="0" w:type="dxa"/>
              <w:right w:w="108" w:type="dxa"/>
            </w:tcMar>
            <w:hideMark/>
          </w:tcPr>
          <w:p w14:paraId="49C3DE65" w14:textId="77777777" w:rsidR="004B37D3" w:rsidRPr="00513BF4" w:rsidRDefault="004B37D3" w:rsidP="00121CC9">
            <w:pPr>
              <w:spacing w:after="0"/>
              <w:jc w:val="both"/>
              <w:rPr>
                <w:lang w:val="en-GB"/>
              </w:rPr>
            </w:pPr>
            <w:r w:rsidRPr="00513BF4">
              <w:rPr>
                <w:b/>
                <w:bCs/>
                <w:sz w:val="20"/>
                <w:szCs w:val="20"/>
                <w:lang w:val="en-GB"/>
              </w:rPr>
              <w:t xml:space="preserve">Intervention: </w:t>
            </w:r>
            <w:r w:rsidRPr="00513BF4">
              <w:rPr>
                <w:sz w:val="20"/>
                <w:szCs w:val="20"/>
                <w:lang w:val="en-GB"/>
              </w:rPr>
              <w:t xml:space="preserve">The project provided unconditional cash transfers to caregivers whose children were treated for SAM in stabilisation centres (in-patient) in </w:t>
            </w:r>
            <w:proofErr w:type="spellStart"/>
            <w:r w:rsidRPr="00513BF4">
              <w:rPr>
                <w:sz w:val="20"/>
                <w:szCs w:val="20"/>
                <w:lang w:val="en-GB"/>
              </w:rPr>
              <w:t>Baidao</w:t>
            </w:r>
            <w:proofErr w:type="spellEnd"/>
            <w:r w:rsidRPr="00513BF4">
              <w:rPr>
                <w:sz w:val="20"/>
                <w:szCs w:val="20"/>
                <w:lang w:val="en-GB"/>
              </w:rPr>
              <w:t xml:space="preserve"> and Kismayo. The objective of the cash transfer was to cover transportation costs, stabilize household food security following discharge and prevent relapse of children into SAM. Caregivers do not get assisted if they quit the stabilisation centre before the treatment is finalized or if they return for treatment. They were eligible to three cash payments of USD 100 each commencing once the child has completed treatment and has been formerly discharged.</w:t>
            </w:r>
          </w:p>
        </w:tc>
      </w:tr>
      <w:tr w:rsidR="004B37D3" w:rsidRPr="00513BF4" w14:paraId="33D6A1E2" w14:textId="77777777" w:rsidTr="00121CC9">
        <w:tc>
          <w:tcPr>
            <w:tcW w:w="9350" w:type="dxa"/>
            <w:gridSpan w:val="2"/>
            <w:shd w:val="clear" w:color="auto" w:fill="FFF2CC"/>
            <w:tcMar>
              <w:top w:w="0" w:type="dxa"/>
              <w:left w:w="108" w:type="dxa"/>
              <w:bottom w:w="0" w:type="dxa"/>
              <w:right w:w="108" w:type="dxa"/>
            </w:tcMar>
            <w:hideMark/>
          </w:tcPr>
          <w:p w14:paraId="463D2C3B" w14:textId="77777777" w:rsidR="004B37D3" w:rsidRPr="00513BF4" w:rsidRDefault="004B37D3" w:rsidP="00121CC9">
            <w:pPr>
              <w:spacing w:after="0"/>
              <w:jc w:val="both"/>
              <w:rPr>
                <w:lang w:val="en-GB"/>
              </w:rPr>
            </w:pPr>
            <w:r w:rsidRPr="00513BF4">
              <w:rPr>
                <w:b/>
                <w:bCs/>
                <w:sz w:val="20"/>
                <w:szCs w:val="20"/>
                <w:lang w:val="en-GB"/>
              </w:rPr>
              <w:t>Results and learning</w:t>
            </w:r>
            <w:r w:rsidRPr="00513BF4">
              <w:rPr>
                <w:sz w:val="20"/>
                <w:szCs w:val="20"/>
                <w:lang w:val="en-GB"/>
              </w:rPr>
              <w:t>: To what extent the programme was able to achieve its objective is not clear. ICRC decided to conduct a study/evaluation on March 2018 (after 2 years and half the beginning of the activity) to review the outcomes and the pertinence of the programme and address the questions that have been raised inside the organization. Unfortunately, for security reason leading to lack of access of the international staff in Somalia, ICRC could not start the study and had to stop the cash transfer component in July 2018. Until today, we haven’t been able to go back.</w:t>
            </w:r>
          </w:p>
        </w:tc>
      </w:tr>
    </w:tbl>
    <w:p w14:paraId="7A5D37D8" w14:textId="77777777" w:rsidR="004B37D3" w:rsidRPr="00513BF4" w:rsidRDefault="004B37D3" w:rsidP="00F906B4">
      <w:pPr>
        <w:jc w:val="both"/>
        <w:rPr>
          <w:sz w:val="20"/>
          <w:szCs w:val="20"/>
          <w:lang w:val="en-GB"/>
        </w:rPr>
      </w:pPr>
    </w:p>
    <w:tbl>
      <w:tblPr>
        <w:tblStyle w:val="TableGrid"/>
        <w:tblW w:w="0" w:type="auto"/>
        <w:shd w:val="clear" w:color="auto" w:fill="FFF2CC" w:themeFill="accent4" w:themeFillTint="33"/>
        <w:tblLook w:val="04A0" w:firstRow="1" w:lastRow="0" w:firstColumn="1" w:lastColumn="0" w:noHBand="0" w:noVBand="1"/>
      </w:tblPr>
      <w:tblGrid>
        <w:gridCol w:w="4675"/>
        <w:gridCol w:w="4675"/>
      </w:tblGrid>
      <w:tr w:rsidR="00ED6DD3" w:rsidRPr="00513BF4" w14:paraId="42DB9FF4" w14:textId="77777777" w:rsidTr="00904F8F">
        <w:tc>
          <w:tcPr>
            <w:tcW w:w="4675" w:type="dxa"/>
            <w:shd w:val="clear" w:color="auto" w:fill="FFF2CC" w:themeFill="accent4" w:themeFillTint="33"/>
          </w:tcPr>
          <w:p w14:paraId="0412D277" w14:textId="568B62E0" w:rsidR="00ED6DD3" w:rsidRPr="00513BF4" w:rsidRDefault="00ED6DD3" w:rsidP="00F906B4">
            <w:pPr>
              <w:jc w:val="both"/>
              <w:rPr>
                <w:b/>
                <w:bCs/>
                <w:sz w:val="20"/>
                <w:szCs w:val="20"/>
                <w:lang w:val="en-GB"/>
              </w:rPr>
            </w:pPr>
            <w:bookmarkStart w:id="18" w:name="_Hlk43367332"/>
            <w:r w:rsidRPr="00513BF4">
              <w:rPr>
                <w:b/>
                <w:bCs/>
                <w:sz w:val="20"/>
                <w:szCs w:val="20"/>
                <w:lang w:val="en-GB"/>
              </w:rPr>
              <w:t xml:space="preserve">Organisation: </w:t>
            </w:r>
            <w:r w:rsidRPr="00513BF4">
              <w:rPr>
                <w:sz w:val="20"/>
                <w:szCs w:val="20"/>
                <w:lang w:val="en-GB"/>
              </w:rPr>
              <w:t>UNICEF</w:t>
            </w:r>
          </w:p>
        </w:tc>
        <w:tc>
          <w:tcPr>
            <w:tcW w:w="4675" w:type="dxa"/>
            <w:shd w:val="clear" w:color="auto" w:fill="FFF2CC" w:themeFill="accent4" w:themeFillTint="33"/>
          </w:tcPr>
          <w:p w14:paraId="6120D015" w14:textId="77777777" w:rsidR="00ED6DD3" w:rsidRPr="00513BF4" w:rsidRDefault="00ED6DD3" w:rsidP="00F906B4">
            <w:pPr>
              <w:jc w:val="both"/>
              <w:rPr>
                <w:rFonts w:cstheme="minorHAnsi"/>
                <w:sz w:val="20"/>
                <w:szCs w:val="20"/>
                <w:lang w:val="en-GB"/>
              </w:rPr>
            </w:pPr>
            <w:r w:rsidRPr="00513BF4">
              <w:rPr>
                <w:b/>
                <w:bCs/>
                <w:sz w:val="20"/>
                <w:szCs w:val="20"/>
                <w:lang w:val="en-GB"/>
              </w:rPr>
              <w:t xml:space="preserve">Location: </w:t>
            </w:r>
            <w:r w:rsidRPr="00513BF4">
              <w:rPr>
                <w:sz w:val="20"/>
                <w:szCs w:val="20"/>
                <w:lang w:val="en-GB"/>
              </w:rPr>
              <w:t>Somalia</w:t>
            </w:r>
          </w:p>
        </w:tc>
      </w:tr>
      <w:tr w:rsidR="00ED6DD3" w:rsidRPr="00513BF4" w14:paraId="6209B5A0" w14:textId="77777777" w:rsidTr="00904F8F">
        <w:tc>
          <w:tcPr>
            <w:tcW w:w="4675" w:type="dxa"/>
            <w:shd w:val="clear" w:color="auto" w:fill="FFF2CC" w:themeFill="accent4" w:themeFillTint="33"/>
          </w:tcPr>
          <w:p w14:paraId="7E9423CF" w14:textId="7B298E92" w:rsidR="00ED6DD3" w:rsidRPr="00513BF4" w:rsidRDefault="00ED6DD3" w:rsidP="00F906B4">
            <w:pPr>
              <w:jc w:val="both"/>
              <w:rPr>
                <w:b/>
                <w:bCs/>
                <w:sz w:val="20"/>
                <w:szCs w:val="20"/>
                <w:lang w:val="en-GB"/>
              </w:rPr>
            </w:pPr>
            <w:r w:rsidRPr="00513BF4">
              <w:rPr>
                <w:b/>
                <w:bCs/>
                <w:sz w:val="20"/>
                <w:szCs w:val="20"/>
                <w:lang w:val="en-GB"/>
              </w:rPr>
              <w:t xml:space="preserve">Programme and duration: </w:t>
            </w:r>
            <w:r w:rsidR="009D5674" w:rsidRPr="00513BF4">
              <w:rPr>
                <w:sz w:val="20"/>
                <w:szCs w:val="20"/>
                <w:lang w:val="en-GB"/>
              </w:rPr>
              <w:t>Safety Net Cash Programm</w:t>
            </w:r>
            <w:r w:rsidR="00355FB8" w:rsidRPr="00513BF4">
              <w:rPr>
                <w:sz w:val="20"/>
                <w:szCs w:val="20"/>
                <w:lang w:val="en-GB"/>
              </w:rPr>
              <w:t>e</w:t>
            </w:r>
            <w:r w:rsidRPr="00513BF4">
              <w:rPr>
                <w:sz w:val="20"/>
                <w:szCs w:val="20"/>
                <w:lang w:val="en-GB"/>
              </w:rPr>
              <w:t>,</w:t>
            </w:r>
            <w:r w:rsidRPr="00513BF4">
              <w:rPr>
                <w:b/>
                <w:bCs/>
                <w:sz w:val="20"/>
                <w:szCs w:val="20"/>
                <w:lang w:val="en-GB"/>
              </w:rPr>
              <w:t xml:space="preserve"> </w:t>
            </w:r>
            <w:r w:rsidRPr="00513BF4">
              <w:rPr>
                <w:sz w:val="20"/>
                <w:szCs w:val="20"/>
                <w:lang w:val="en-GB"/>
              </w:rPr>
              <w:t>2019-</w:t>
            </w:r>
            <w:r w:rsidR="009D5674" w:rsidRPr="00513BF4">
              <w:rPr>
                <w:sz w:val="20"/>
                <w:szCs w:val="20"/>
                <w:lang w:val="en-GB"/>
              </w:rPr>
              <w:t>2020</w:t>
            </w:r>
          </w:p>
        </w:tc>
        <w:tc>
          <w:tcPr>
            <w:tcW w:w="4675" w:type="dxa"/>
            <w:shd w:val="clear" w:color="auto" w:fill="FFF2CC" w:themeFill="accent4" w:themeFillTint="33"/>
          </w:tcPr>
          <w:p w14:paraId="142ECA0B" w14:textId="77777777" w:rsidR="00ED6DD3" w:rsidRPr="00513BF4" w:rsidRDefault="00ED6DD3" w:rsidP="00F906B4">
            <w:pPr>
              <w:jc w:val="both"/>
              <w:rPr>
                <w:b/>
                <w:bCs/>
                <w:sz w:val="20"/>
                <w:szCs w:val="20"/>
                <w:lang w:val="en-GB"/>
              </w:rPr>
            </w:pPr>
            <w:r w:rsidRPr="00513BF4">
              <w:rPr>
                <w:b/>
                <w:bCs/>
                <w:sz w:val="20"/>
                <w:szCs w:val="20"/>
                <w:lang w:val="en-GB"/>
              </w:rPr>
              <w:t xml:space="preserve">Documents reviewed: </w:t>
            </w:r>
            <w:r w:rsidRPr="00513BF4">
              <w:rPr>
                <w:sz w:val="20"/>
                <w:szCs w:val="20"/>
                <w:lang w:val="en-GB"/>
              </w:rPr>
              <w:t>Concept note</w:t>
            </w:r>
          </w:p>
        </w:tc>
      </w:tr>
      <w:tr w:rsidR="00ED6DD3" w:rsidRPr="00513BF4" w14:paraId="21B3D068" w14:textId="77777777" w:rsidTr="00904F8F">
        <w:tc>
          <w:tcPr>
            <w:tcW w:w="9350" w:type="dxa"/>
            <w:gridSpan w:val="2"/>
            <w:shd w:val="clear" w:color="auto" w:fill="FFF2CC" w:themeFill="accent4" w:themeFillTint="33"/>
          </w:tcPr>
          <w:p w14:paraId="2989ACB8" w14:textId="64667BB8" w:rsidR="00ED6DD3" w:rsidRPr="00513BF4" w:rsidRDefault="00ED6DD3" w:rsidP="00F906B4">
            <w:pPr>
              <w:jc w:val="both"/>
              <w:rPr>
                <w:b/>
                <w:bCs/>
                <w:sz w:val="20"/>
                <w:szCs w:val="20"/>
                <w:lang w:val="en-GB"/>
              </w:rPr>
            </w:pPr>
            <w:r w:rsidRPr="00513BF4">
              <w:rPr>
                <w:b/>
                <w:bCs/>
                <w:sz w:val="20"/>
                <w:szCs w:val="20"/>
                <w:lang w:val="en-GB"/>
              </w:rPr>
              <w:t xml:space="preserve">Intervention: </w:t>
            </w:r>
            <w:r w:rsidRPr="00513BF4">
              <w:rPr>
                <w:sz w:val="20"/>
                <w:szCs w:val="20"/>
                <w:lang w:val="en-GB"/>
              </w:rPr>
              <w:t xml:space="preserve">The programme implemented by UNICEF started in 2019 and </w:t>
            </w:r>
            <w:r w:rsidR="009D5674" w:rsidRPr="00513BF4">
              <w:rPr>
                <w:sz w:val="20"/>
                <w:szCs w:val="20"/>
                <w:lang w:val="en-GB"/>
              </w:rPr>
              <w:t xml:space="preserve">planned to </w:t>
            </w:r>
            <w:r w:rsidRPr="00513BF4">
              <w:rPr>
                <w:sz w:val="20"/>
                <w:szCs w:val="20"/>
                <w:lang w:val="en-GB"/>
              </w:rPr>
              <w:t>provide caregivers of children with SAM with monthly cash transfers</w:t>
            </w:r>
            <w:r w:rsidR="009D5674" w:rsidRPr="00513BF4">
              <w:rPr>
                <w:sz w:val="20"/>
                <w:szCs w:val="20"/>
                <w:lang w:val="en-GB"/>
              </w:rPr>
              <w:t xml:space="preserve"> of USD 20</w:t>
            </w:r>
            <w:r w:rsidRPr="00513BF4">
              <w:rPr>
                <w:sz w:val="20"/>
                <w:szCs w:val="20"/>
                <w:lang w:val="en-GB"/>
              </w:rPr>
              <w:t xml:space="preserve"> </w:t>
            </w:r>
            <w:r w:rsidR="009D5674" w:rsidRPr="00513BF4">
              <w:rPr>
                <w:sz w:val="20"/>
                <w:szCs w:val="20"/>
                <w:lang w:val="en-GB"/>
              </w:rPr>
              <w:t xml:space="preserve">over 9 months </w:t>
            </w:r>
            <w:r w:rsidRPr="00513BF4">
              <w:rPr>
                <w:sz w:val="20"/>
                <w:szCs w:val="20"/>
                <w:lang w:val="en-GB"/>
              </w:rPr>
              <w:t xml:space="preserve">following their enrolment at the treatment centre. The aim of the cash transfer </w:t>
            </w:r>
            <w:r w:rsidR="00E202E2" w:rsidRPr="00513BF4">
              <w:rPr>
                <w:sz w:val="20"/>
                <w:szCs w:val="20"/>
                <w:lang w:val="en-GB"/>
              </w:rPr>
              <w:t>was</w:t>
            </w:r>
            <w:r w:rsidRPr="00513BF4">
              <w:rPr>
                <w:sz w:val="20"/>
                <w:szCs w:val="20"/>
                <w:lang w:val="en-GB"/>
              </w:rPr>
              <w:t xml:space="preserve"> to enhance the impact of therapeutic care and prevent children from relapsing into acute malnutrition. The </w:t>
            </w:r>
            <w:r w:rsidR="00E202E2" w:rsidRPr="00513BF4">
              <w:rPr>
                <w:sz w:val="20"/>
                <w:szCs w:val="20"/>
                <w:lang w:val="en-GB"/>
              </w:rPr>
              <w:t>programme</w:t>
            </w:r>
            <w:r w:rsidRPr="00513BF4">
              <w:rPr>
                <w:sz w:val="20"/>
                <w:szCs w:val="20"/>
                <w:lang w:val="en-GB"/>
              </w:rPr>
              <w:t xml:space="preserve"> also include</w:t>
            </w:r>
            <w:r w:rsidR="009D5674" w:rsidRPr="00513BF4">
              <w:rPr>
                <w:sz w:val="20"/>
                <w:szCs w:val="20"/>
                <w:lang w:val="en-GB"/>
              </w:rPr>
              <w:t>d</w:t>
            </w:r>
            <w:r w:rsidRPr="00513BF4">
              <w:rPr>
                <w:sz w:val="20"/>
                <w:szCs w:val="20"/>
                <w:lang w:val="en-GB"/>
              </w:rPr>
              <w:t xml:space="preserve"> SBC and counselling around optimal maternal and child feeding, and care practices targeted towards beneficiary households and the communities that host them.</w:t>
            </w:r>
            <w:r w:rsidR="009D5674" w:rsidRPr="00513BF4">
              <w:rPr>
                <w:sz w:val="20"/>
                <w:szCs w:val="20"/>
                <w:lang w:val="en-GB"/>
              </w:rPr>
              <w:t xml:space="preserve"> Due to operational and funding constraints, the programme was cut short and only provided three cash transfers (the last payments are ongoing). </w:t>
            </w:r>
          </w:p>
        </w:tc>
      </w:tr>
      <w:tr w:rsidR="00ED6DD3" w:rsidRPr="00513BF4" w14:paraId="13526CB4" w14:textId="77777777" w:rsidTr="00904F8F">
        <w:tc>
          <w:tcPr>
            <w:tcW w:w="9350" w:type="dxa"/>
            <w:gridSpan w:val="2"/>
            <w:shd w:val="clear" w:color="auto" w:fill="FFF2CC" w:themeFill="accent4" w:themeFillTint="33"/>
          </w:tcPr>
          <w:p w14:paraId="0A4EFD27" w14:textId="45AD9168" w:rsidR="00ED6DD3" w:rsidRPr="00513BF4" w:rsidRDefault="00ED6DD3" w:rsidP="00F906B4">
            <w:pPr>
              <w:jc w:val="both"/>
              <w:rPr>
                <w:sz w:val="20"/>
                <w:szCs w:val="20"/>
                <w:lang w:val="en-GB"/>
              </w:rPr>
            </w:pPr>
            <w:r w:rsidRPr="00513BF4">
              <w:rPr>
                <w:b/>
                <w:bCs/>
                <w:sz w:val="20"/>
                <w:szCs w:val="20"/>
                <w:lang w:val="en-GB"/>
              </w:rPr>
              <w:t>Results and learning</w:t>
            </w:r>
            <w:r w:rsidRPr="00513BF4">
              <w:rPr>
                <w:sz w:val="20"/>
                <w:szCs w:val="20"/>
                <w:lang w:val="en-GB"/>
              </w:rPr>
              <w:t xml:space="preserve">: </w:t>
            </w:r>
            <w:r w:rsidR="009D5674" w:rsidRPr="00513BF4">
              <w:rPr>
                <w:sz w:val="20"/>
                <w:szCs w:val="20"/>
                <w:lang w:val="en-GB"/>
              </w:rPr>
              <w:t>Due to operational constraints related to Covid-19,</w:t>
            </w:r>
            <w:r w:rsidR="00E202E2" w:rsidRPr="00513BF4">
              <w:rPr>
                <w:sz w:val="20"/>
                <w:szCs w:val="20"/>
                <w:lang w:val="en-GB"/>
              </w:rPr>
              <w:t xml:space="preserve"> regular monitoring activities had to be cancelled or postponed. </w:t>
            </w:r>
          </w:p>
        </w:tc>
      </w:tr>
      <w:bookmarkEnd w:id="18"/>
    </w:tbl>
    <w:p w14:paraId="563C977E" w14:textId="77777777" w:rsidR="00355FB8" w:rsidRPr="00513BF4" w:rsidRDefault="00355FB8" w:rsidP="00F906B4">
      <w:pPr>
        <w:jc w:val="both"/>
        <w:rPr>
          <w:lang w:val="en-GB"/>
        </w:rPr>
      </w:pPr>
    </w:p>
    <w:p w14:paraId="67CD7710" w14:textId="02305197" w:rsidR="006C2D30" w:rsidRPr="00513BF4" w:rsidRDefault="006C2D30" w:rsidP="00F906B4">
      <w:pPr>
        <w:jc w:val="both"/>
        <w:rPr>
          <w:lang w:val="en-GB"/>
        </w:rPr>
      </w:pPr>
    </w:p>
    <w:p w14:paraId="12B6C78E" w14:textId="44A8D6F6" w:rsidR="0005181B" w:rsidRPr="00513BF4" w:rsidRDefault="0005181B">
      <w:pPr>
        <w:rPr>
          <w:lang w:val="en-GB"/>
        </w:rPr>
      </w:pPr>
      <w:r w:rsidRPr="00513BF4">
        <w:rPr>
          <w:lang w:val="en-GB"/>
        </w:rPr>
        <w:br w:type="page"/>
      </w:r>
    </w:p>
    <w:p w14:paraId="60B97628" w14:textId="7C4931DB" w:rsidR="000A5E84" w:rsidRDefault="000A5E84" w:rsidP="000A5E84">
      <w:pPr>
        <w:pStyle w:val="Heading1"/>
        <w:numPr>
          <w:ilvl w:val="0"/>
          <w:numId w:val="0"/>
        </w:numPr>
        <w:rPr>
          <w:lang w:val="en-GB"/>
        </w:rPr>
      </w:pPr>
      <w:bookmarkStart w:id="19" w:name="_Toc46392147"/>
      <w:bookmarkStart w:id="20" w:name="_Toc41558470"/>
      <w:r w:rsidRPr="00513BF4">
        <w:rPr>
          <w:lang w:val="en-GB"/>
        </w:rPr>
        <w:lastRenderedPageBreak/>
        <w:t xml:space="preserve">Annex 4: </w:t>
      </w:r>
      <w:r>
        <w:rPr>
          <w:lang w:val="en-GB"/>
        </w:rPr>
        <w:t>Monitoring of CVA for nutrition outcomes</w:t>
      </w:r>
      <w:bookmarkEnd w:id="19"/>
    </w:p>
    <w:p w14:paraId="764E2703" w14:textId="77777777" w:rsidR="006B3AC1" w:rsidRPr="00513BF4" w:rsidRDefault="006B3AC1" w:rsidP="006B3AC1">
      <w:pPr>
        <w:jc w:val="both"/>
        <w:rPr>
          <w:i/>
          <w:iCs/>
          <w:lang w:val="en-GB"/>
        </w:rPr>
      </w:pPr>
      <w:r w:rsidRPr="00513BF4">
        <w:rPr>
          <w:i/>
          <w:iCs/>
          <w:lang w:val="en-GB"/>
        </w:rPr>
        <w:t>From: GNC (2020). Draft evidence and guidance note on the use of CVA for nutrition outcomes.</w:t>
      </w:r>
    </w:p>
    <w:p w14:paraId="02D9730D" w14:textId="77777777" w:rsidR="000B5C99" w:rsidRPr="003D4225" w:rsidRDefault="000B5C99" w:rsidP="000B5C99">
      <w:pPr>
        <w:rPr>
          <w:lang w:val="en-GB"/>
        </w:rPr>
      </w:pPr>
      <w:r w:rsidRPr="003D4225">
        <w:rPr>
          <w:lang w:val="en-GB"/>
        </w:rPr>
        <w:t xml:space="preserve">Proper monitoring of the CVA component and its contribution to nutrition outcomes is essential in further building the evidence base for the use of CVA in nutrition. </w:t>
      </w:r>
    </w:p>
    <w:p w14:paraId="6B1F79A2" w14:textId="77777777" w:rsidR="000B5C99" w:rsidRPr="003D4225" w:rsidRDefault="000B5C99" w:rsidP="000B5C99">
      <w:pPr>
        <w:rPr>
          <w:lang w:val="en-GB"/>
        </w:rPr>
      </w:pPr>
      <w:r w:rsidRPr="003D4225">
        <w:rPr>
          <w:lang w:val="en-GB"/>
        </w:rPr>
        <w:t xml:space="preserve">The definition of indicators to </w:t>
      </w:r>
      <w:r w:rsidRPr="003D4225">
        <w:rPr>
          <w:i/>
          <w:iCs/>
          <w:lang w:val="en-GB"/>
        </w:rPr>
        <w:t>monitor outcomes</w:t>
      </w:r>
      <w:r w:rsidRPr="003D4225">
        <w:rPr>
          <w:lang w:val="en-GB"/>
        </w:rPr>
        <w:t xml:space="preserve"> largely depends on the programme objective and is as such not tied to the assistance modality. Nutrition outcomes are usually assessed by looking at the prevalence of acute or chronic malnutrition within communities, the nutrition status of targeted individuals</w:t>
      </w:r>
      <w:r>
        <w:rPr>
          <w:lang w:val="en-GB"/>
        </w:rPr>
        <w:t xml:space="preserve"> (typically measured through </w:t>
      </w:r>
      <w:r w:rsidRPr="003D4225">
        <w:rPr>
          <w:lang w:val="en-GB"/>
        </w:rPr>
        <w:t>WHZ, HAZ, MUAC, WAZ and micronutrient status</w:t>
      </w:r>
      <w:r>
        <w:rPr>
          <w:lang w:val="en-GB"/>
        </w:rPr>
        <w:t>)</w:t>
      </w:r>
      <w:r w:rsidRPr="003D4225">
        <w:rPr>
          <w:lang w:val="en-GB"/>
        </w:rPr>
        <w:t xml:space="preserve">, indicators related to food consumption and dietary diversity at population level or targeted individuals and access to health services. </w:t>
      </w:r>
    </w:p>
    <w:p w14:paraId="318A39BC" w14:textId="77777777" w:rsidR="000B5C99" w:rsidRDefault="000B5C99" w:rsidP="000B5C99">
      <w:pPr>
        <w:rPr>
          <w:lang w:val="en-GB"/>
        </w:rPr>
      </w:pPr>
      <w:r w:rsidRPr="003D4225">
        <w:rPr>
          <w:lang w:val="en-GB"/>
        </w:rPr>
        <w:t xml:space="preserve">To understand the impact of household CVA on maternal and child nutrition, it is important to move beyond the household level indicators such as the Household Dietary Diversity Score (HDDS) or the Food Consumption Score (FCS), which do not capture the nuances of intra-household distribution of food and cannot be extrapolated to the individual level. Indicators such as </w:t>
      </w:r>
      <w:hyperlink r:id="rId30" w:history="1">
        <w:r w:rsidRPr="003D4225">
          <w:rPr>
            <w:rStyle w:val="Hyperlink"/>
            <w:lang w:val="en-GB"/>
          </w:rPr>
          <w:t>Minimum Dietary Diversity for Women</w:t>
        </w:r>
      </w:hyperlink>
      <w:r w:rsidRPr="003D4225">
        <w:rPr>
          <w:lang w:val="en-GB"/>
        </w:rPr>
        <w:t xml:space="preserve"> (MDD-W), </w:t>
      </w:r>
      <w:hyperlink r:id="rId31" w:history="1">
        <w:r w:rsidRPr="003D4225">
          <w:rPr>
            <w:rStyle w:val="Hyperlink"/>
            <w:lang w:val="en-GB"/>
          </w:rPr>
          <w:t>Minimum Acceptable Diet</w:t>
        </w:r>
      </w:hyperlink>
      <w:r w:rsidRPr="003D4225">
        <w:rPr>
          <w:lang w:val="en-GB"/>
        </w:rPr>
        <w:t xml:space="preserve"> (MAD)</w:t>
      </w:r>
      <w:r>
        <w:rPr>
          <w:lang w:val="en-GB"/>
        </w:rPr>
        <w:t xml:space="preserve">, </w:t>
      </w:r>
      <w:hyperlink r:id="rId32" w:history="1">
        <w:r w:rsidRPr="003D4225">
          <w:rPr>
            <w:rStyle w:val="Hyperlink"/>
            <w:lang w:val="en-GB"/>
          </w:rPr>
          <w:t>Minimum Dietary Diversity</w:t>
        </w:r>
      </w:hyperlink>
      <w:r w:rsidRPr="003D4225">
        <w:rPr>
          <w:lang w:val="en-GB"/>
        </w:rPr>
        <w:t xml:space="preserve"> (MDD) for children 6-23 months </w:t>
      </w:r>
      <w:r>
        <w:rPr>
          <w:lang w:val="en-GB"/>
        </w:rPr>
        <w:t xml:space="preserve">and </w:t>
      </w:r>
      <w:hyperlink r:id="rId33" w:anchor=":~:text=Minimum%20meal%20frequency%20(%25)&amp;text=Minimum%20meal%20frequency%20is%20defined,breastfed%20children%206%E2%80%9323%20months" w:history="1">
        <w:r w:rsidRPr="00C8444E">
          <w:rPr>
            <w:rStyle w:val="Hyperlink"/>
            <w:lang w:val="en-GB"/>
          </w:rPr>
          <w:t>Minimum Meal Frequency</w:t>
        </w:r>
      </w:hyperlink>
      <w:r>
        <w:rPr>
          <w:lang w:val="en-GB"/>
        </w:rPr>
        <w:t xml:space="preserve"> for children 6-23 months </w:t>
      </w:r>
      <w:r w:rsidRPr="003D4225">
        <w:rPr>
          <w:lang w:val="en-GB"/>
        </w:rPr>
        <w:t>can help to capture intra-household differences in food consumption habits and to highlight consumption patterns that are deficient in micronutrient-rich foods (AAH, 2017).</w:t>
      </w:r>
    </w:p>
    <w:p w14:paraId="1ED5B1D9" w14:textId="77777777" w:rsidR="000B5C99" w:rsidRPr="003D4225" w:rsidRDefault="000B5C99" w:rsidP="000B5C99">
      <w:pPr>
        <w:rPr>
          <w:lang w:val="en-GB"/>
        </w:rPr>
      </w:pPr>
      <w:r>
        <w:rPr>
          <w:lang w:val="en-GB"/>
        </w:rPr>
        <w:t xml:space="preserve">Another </w:t>
      </w:r>
      <w:r w:rsidRPr="005D2851">
        <w:rPr>
          <w:rFonts w:cstheme="minorHAnsi"/>
          <w:lang w:val="en-GB"/>
        </w:rPr>
        <w:t>interest</w:t>
      </w:r>
      <w:r>
        <w:rPr>
          <w:rFonts w:cstheme="minorHAnsi"/>
          <w:lang w:val="en-GB"/>
        </w:rPr>
        <w:t>ing</w:t>
      </w:r>
      <w:r w:rsidRPr="005D2851">
        <w:rPr>
          <w:rFonts w:cstheme="minorHAnsi"/>
          <w:lang w:val="en-GB"/>
        </w:rPr>
        <w:t xml:space="preserve"> indicator that is particularly relevant for interventions including a household cash transfer component is the </w:t>
      </w:r>
      <w:hyperlink r:id="rId34" w:history="1">
        <w:r w:rsidRPr="00BD433B">
          <w:rPr>
            <w:rStyle w:val="Hyperlink"/>
            <w:rFonts w:cstheme="minorHAnsi"/>
            <w:lang w:val="en-GB"/>
          </w:rPr>
          <w:t>coping strategy index</w:t>
        </w:r>
      </w:hyperlink>
      <w:r w:rsidRPr="005D2851">
        <w:rPr>
          <w:rFonts w:cstheme="minorHAnsi"/>
          <w:lang w:val="en-GB"/>
        </w:rPr>
        <w:t xml:space="preserve"> (CSI). The CSI was originally developed as a food security and measures h</w:t>
      </w:r>
      <w:r w:rsidRPr="005D2851">
        <w:rPr>
          <w:rFonts w:cstheme="minorHAnsi"/>
          <w:shd w:val="clear" w:color="auto" w:fill="FFFFFF"/>
        </w:rPr>
        <w:t>ow households manage to cope with a shortfall in food for consumption</w:t>
      </w:r>
      <w:r>
        <w:rPr>
          <w:rFonts w:cstheme="minorHAnsi"/>
          <w:shd w:val="clear" w:color="auto" w:fill="FFFFFF"/>
        </w:rPr>
        <w:t>. It can however be expanded to include other sectoral such as health and WASH</w:t>
      </w:r>
      <w:r>
        <w:rPr>
          <w:rStyle w:val="FootnoteReference"/>
          <w:rFonts w:cstheme="minorHAnsi"/>
          <w:shd w:val="clear" w:color="auto" w:fill="FFFFFF"/>
        </w:rPr>
        <w:footnoteReference w:id="18"/>
      </w:r>
      <w:r>
        <w:rPr>
          <w:rFonts w:cstheme="minorHAnsi"/>
          <w:shd w:val="clear" w:color="auto" w:fill="FFFFFF"/>
        </w:rPr>
        <w:t xml:space="preserve">, and be used to measure the impact of household cash transfers. </w:t>
      </w:r>
    </w:p>
    <w:p w14:paraId="07148F6D" w14:textId="77777777" w:rsidR="000B5C99" w:rsidRPr="003D4225" w:rsidRDefault="000B5C99" w:rsidP="000B5C99">
      <w:pPr>
        <w:rPr>
          <w:lang w:val="en-GB"/>
        </w:rPr>
      </w:pPr>
      <w:r w:rsidRPr="003D4225">
        <w:rPr>
          <w:lang w:val="en-GB"/>
        </w:rPr>
        <w:t xml:space="preserve">How households and individuals use CVA can be considered as an intermediate outcome and should be closely monitored when using CVA as part of a nutrition response. Specifically, expenditure on food, the composition of purchased food, expenditure on accessing health services and expenditure related to water and sanitation should be collected at sub-category level (i.e. what kind of food was purchased, what kind of expenditure to access health services occurred, and what water and </w:t>
      </w:r>
      <w:r>
        <w:rPr>
          <w:lang w:val="en-GB"/>
        </w:rPr>
        <w:t>hygiene</w:t>
      </w:r>
      <w:r w:rsidRPr="003D4225">
        <w:rPr>
          <w:lang w:val="en-GB"/>
        </w:rPr>
        <w:t xml:space="preserve"> goods and services were obtained). From expenditure data, </w:t>
      </w:r>
      <w:r>
        <w:rPr>
          <w:lang w:val="en-GB"/>
        </w:rPr>
        <w:t xml:space="preserve">vulnerability </w:t>
      </w:r>
      <w:r w:rsidRPr="003D4225">
        <w:rPr>
          <w:lang w:val="en-GB"/>
        </w:rPr>
        <w:t xml:space="preserve">indicators such as the </w:t>
      </w:r>
      <w:hyperlink r:id="rId35" w:history="1">
        <w:r w:rsidRPr="003D4225">
          <w:rPr>
            <w:rStyle w:val="Hyperlink"/>
            <w:lang w:val="en-GB"/>
          </w:rPr>
          <w:t>household food expenditure share</w:t>
        </w:r>
      </w:hyperlink>
      <w:r w:rsidRPr="003D4225">
        <w:rPr>
          <w:lang w:val="en-GB"/>
        </w:rPr>
        <w:t xml:space="preserve"> </w:t>
      </w:r>
      <w:r>
        <w:rPr>
          <w:lang w:val="en-GB"/>
        </w:rPr>
        <w:t xml:space="preserve">or the </w:t>
      </w:r>
      <w:hyperlink r:id="rId36" w:history="1">
        <w:r w:rsidRPr="0089652D">
          <w:rPr>
            <w:rStyle w:val="Hyperlink"/>
            <w:lang w:val="en-GB"/>
          </w:rPr>
          <w:t>percentage of household expenditure on health</w:t>
        </w:r>
      </w:hyperlink>
      <w:r>
        <w:rPr>
          <w:lang w:val="en-GB"/>
        </w:rPr>
        <w:t xml:space="preserve"> </w:t>
      </w:r>
      <w:r w:rsidRPr="003D4225">
        <w:rPr>
          <w:lang w:val="en-GB"/>
        </w:rPr>
        <w:t>can be extrapolated</w:t>
      </w:r>
      <w:r>
        <w:rPr>
          <w:lang w:val="en-GB"/>
        </w:rPr>
        <w:t>.</w:t>
      </w:r>
    </w:p>
    <w:p w14:paraId="3ACF07EA" w14:textId="77777777" w:rsidR="000B5C99" w:rsidRPr="003D4225" w:rsidRDefault="000B5C99" w:rsidP="000B5C99">
      <w:pPr>
        <w:rPr>
          <w:lang w:val="en-GB"/>
        </w:rPr>
      </w:pPr>
      <w:r w:rsidRPr="003D4225">
        <w:rPr>
          <w:lang w:val="en-GB"/>
        </w:rPr>
        <w:t xml:space="preserve">The definition of indicators to </w:t>
      </w:r>
      <w:r w:rsidRPr="003D4225">
        <w:rPr>
          <w:i/>
          <w:iCs/>
          <w:lang w:val="en-GB"/>
        </w:rPr>
        <w:t xml:space="preserve">monitor </w:t>
      </w:r>
      <w:r>
        <w:rPr>
          <w:i/>
          <w:iCs/>
          <w:lang w:val="en-GB"/>
        </w:rPr>
        <w:t>process</w:t>
      </w:r>
      <w:r w:rsidRPr="003D4225">
        <w:rPr>
          <w:i/>
          <w:iCs/>
          <w:lang w:val="en-GB"/>
        </w:rPr>
        <w:t xml:space="preserve"> and outputs</w:t>
      </w:r>
      <w:r w:rsidRPr="003D4225">
        <w:rPr>
          <w:lang w:val="en-GB"/>
        </w:rPr>
        <w:t xml:space="preserve"> is very much linked to the assistance modality. Typical indicators </w:t>
      </w:r>
      <w:r>
        <w:rPr>
          <w:lang w:val="en-GB"/>
        </w:rPr>
        <w:t xml:space="preserve">for CVA </w:t>
      </w:r>
      <w:r w:rsidRPr="003D4225">
        <w:rPr>
          <w:lang w:val="en-GB"/>
        </w:rPr>
        <w:t xml:space="preserve">include the number of households or individuals (disaggregated by gender) that have received CVA per distribution, the number of vouchers redeemed per distribution, the total amount transferred per distribution, the percentage of payments made according to schedule, the percentage of beneficiaries who report satisfaction with process and methods of implementation, etc. </w:t>
      </w:r>
    </w:p>
    <w:p w14:paraId="336F6224" w14:textId="77777777" w:rsidR="000B5C99" w:rsidRDefault="000B5C99" w:rsidP="000B5C99">
      <w:pPr>
        <w:rPr>
          <w:lang w:val="en-GB"/>
        </w:rPr>
      </w:pPr>
      <w:r w:rsidRPr="003D4225">
        <w:rPr>
          <w:i/>
          <w:iCs/>
          <w:lang w:val="en-GB"/>
        </w:rPr>
        <w:lastRenderedPageBreak/>
        <w:t>Market price monitoring</w:t>
      </w:r>
      <w:r w:rsidRPr="003D4225">
        <w:rPr>
          <w:lang w:val="en-GB"/>
        </w:rPr>
        <w:t xml:space="preserve"> should </w:t>
      </w:r>
      <w:r>
        <w:rPr>
          <w:lang w:val="en-GB"/>
        </w:rPr>
        <w:t>at minimum cover the nutrition-relevant goods and services</w:t>
      </w:r>
      <w:r w:rsidRPr="003D4225">
        <w:rPr>
          <w:lang w:val="en-GB"/>
        </w:rPr>
        <w:t xml:space="preserve"> included in </w:t>
      </w:r>
      <w:r>
        <w:rPr>
          <w:lang w:val="en-GB"/>
        </w:rPr>
        <w:t>expenditure basket</w:t>
      </w:r>
      <w:r w:rsidRPr="003D4225">
        <w:rPr>
          <w:lang w:val="en-GB"/>
        </w:rPr>
        <w:t>.</w:t>
      </w:r>
      <w:r>
        <w:rPr>
          <w:lang w:val="en-GB"/>
        </w:rPr>
        <w:t xml:space="preserve"> </w:t>
      </w:r>
      <w:r w:rsidRPr="00914765">
        <w:rPr>
          <w:i/>
          <w:iCs/>
          <w:lang w:val="en-GB"/>
        </w:rPr>
        <w:t>Risks</w:t>
      </w:r>
      <w:r w:rsidRPr="00914765">
        <w:rPr>
          <w:lang w:val="en-GB"/>
        </w:rPr>
        <w:t xml:space="preserve"> identified in step 4 need to be monitored and updated, including risks related to protection and safety of </w:t>
      </w:r>
      <w:r>
        <w:rPr>
          <w:lang w:val="en-GB"/>
        </w:rPr>
        <w:t xml:space="preserve">recipients. </w:t>
      </w:r>
    </w:p>
    <w:p w14:paraId="2786AE82" w14:textId="77777777" w:rsidR="000B5C99" w:rsidRDefault="000B5C99">
      <w:pPr>
        <w:rPr>
          <w:lang w:val="en-GB"/>
        </w:rPr>
      </w:pPr>
    </w:p>
    <w:p w14:paraId="40463704" w14:textId="74E171D0" w:rsidR="000A5E84" w:rsidRDefault="000A5E84">
      <w:pPr>
        <w:rPr>
          <w:rFonts w:eastAsiaTheme="majorEastAsia" w:cstheme="majorBidi"/>
          <w:b/>
          <w:color w:val="91C93D"/>
          <w:sz w:val="28"/>
          <w:szCs w:val="32"/>
          <w:lang w:val="en-GB"/>
        </w:rPr>
      </w:pPr>
    </w:p>
    <w:p w14:paraId="7D342E82" w14:textId="19A3AB44" w:rsidR="0005181B" w:rsidRPr="00513BF4" w:rsidRDefault="0005181B" w:rsidP="0005181B">
      <w:pPr>
        <w:pStyle w:val="Heading1"/>
        <w:numPr>
          <w:ilvl w:val="0"/>
          <w:numId w:val="0"/>
        </w:numPr>
        <w:rPr>
          <w:lang w:val="en-GB"/>
        </w:rPr>
      </w:pPr>
      <w:bookmarkStart w:id="21" w:name="_Toc46392148"/>
      <w:r w:rsidRPr="00513BF4">
        <w:rPr>
          <w:lang w:val="en-GB"/>
        </w:rPr>
        <w:t xml:space="preserve">Annex </w:t>
      </w:r>
      <w:r w:rsidR="000A5E84">
        <w:rPr>
          <w:lang w:val="en-GB"/>
        </w:rPr>
        <w:t>5</w:t>
      </w:r>
      <w:r w:rsidRPr="00513BF4">
        <w:rPr>
          <w:lang w:val="en-GB"/>
        </w:rPr>
        <w:t>: CVA for nutrition outcomes in times of COVID 19</w:t>
      </w:r>
      <w:bookmarkEnd w:id="20"/>
      <w:bookmarkEnd w:id="21"/>
    </w:p>
    <w:p w14:paraId="55E920A5" w14:textId="77777777" w:rsidR="0005181B" w:rsidRPr="00513BF4" w:rsidRDefault="0005181B" w:rsidP="0005181B">
      <w:pPr>
        <w:jc w:val="both"/>
        <w:rPr>
          <w:lang w:val="en-GB"/>
        </w:rPr>
      </w:pPr>
    </w:p>
    <w:p w14:paraId="6B9637AD" w14:textId="77777777" w:rsidR="0005181B" w:rsidRPr="00513BF4" w:rsidRDefault="0005181B" w:rsidP="0005181B">
      <w:pPr>
        <w:numPr>
          <w:ilvl w:val="0"/>
          <w:numId w:val="43"/>
        </w:numPr>
        <w:jc w:val="both"/>
        <w:rPr>
          <w:lang w:val="en-GB"/>
        </w:rPr>
      </w:pPr>
      <w:r w:rsidRPr="00513BF4">
        <w:rPr>
          <w:lang w:val="en-GB"/>
        </w:rPr>
        <w:t>Impact of Covid-19 on food market systems: could prevent the use of CVA to access a nutritious diet</w:t>
      </w:r>
    </w:p>
    <w:p w14:paraId="7CE2CA9A" w14:textId="77777777" w:rsidR="0005181B" w:rsidRPr="00513BF4" w:rsidRDefault="0005181B" w:rsidP="0005181B">
      <w:pPr>
        <w:numPr>
          <w:ilvl w:val="0"/>
          <w:numId w:val="43"/>
        </w:numPr>
        <w:jc w:val="both"/>
        <w:rPr>
          <w:lang w:val="en-GB"/>
        </w:rPr>
      </w:pPr>
      <w:r w:rsidRPr="00513BF4">
        <w:rPr>
          <w:lang w:val="en-GB"/>
        </w:rPr>
        <w:t xml:space="preserve">Impact of Covid-19 on supply chains of specialized nutritious foods: could push actors to do more CVA because of potential supply shortages specialized nutritious foods </w:t>
      </w:r>
    </w:p>
    <w:p w14:paraId="23835F5F" w14:textId="77777777" w:rsidR="0005181B" w:rsidRPr="00513BF4" w:rsidRDefault="0005181B" w:rsidP="0005181B">
      <w:pPr>
        <w:numPr>
          <w:ilvl w:val="0"/>
          <w:numId w:val="43"/>
        </w:numPr>
        <w:jc w:val="both"/>
        <w:rPr>
          <w:lang w:val="en-GB"/>
        </w:rPr>
      </w:pPr>
      <w:r w:rsidRPr="00513BF4">
        <w:rPr>
          <w:lang w:val="en-GB"/>
        </w:rPr>
        <w:t>Important to understand and anticipate changes to market systems for local nutrition dense foods and supply chains for specialized nutritious foods (</w:t>
      </w:r>
      <w:r w:rsidRPr="00513BF4">
        <w:rPr>
          <w:lang w:val="en-GB"/>
        </w:rPr>
        <w:sym w:font="Wingdings" w:char="F0E0"/>
      </w:r>
      <w:r w:rsidRPr="00513BF4">
        <w:rPr>
          <w:lang w:val="en-GB"/>
        </w:rPr>
        <w:t xml:space="preserve"> linkages to FSC and CWG)</w:t>
      </w:r>
    </w:p>
    <w:p w14:paraId="01EE88DF" w14:textId="77777777" w:rsidR="0005181B" w:rsidRPr="00513BF4" w:rsidRDefault="0005181B" w:rsidP="0005181B">
      <w:pPr>
        <w:numPr>
          <w:ilvl w:val="0"/>
          <w:numId w:val="43"/>
        </w:numPr>
        <w:jc w:val="both"/>
        <w:rPr>
          <w:lang w:val="en-GB"/>
        </w:rPr>
      </w:pPr>
      <w:r w:rsidRPr="00513BF4">
        <w:rPr>
          <w:lang w:val="en-GB"/>
        </w:rPr>
        <w:t xml:space="preserve">Measures that can be taken to reduce the risk of CVA contributing to transmission: see </w:t>
      </w:r>
      <w:hyperlink r:id="rId37" w:history="1">
        <w:proofErr w:type="spellStart"/>
        <w:r w:rsidRPr="00513BF4">
          <w:rPr>
            <w:rStyle w:val="Hyperlink"/>
            <w:lang w:val="en-GB"/>
          </w:rPr>
          <w:t>CaLP</w:t>
        </w:r>
        <w:proofErr w:type="spellEnd"/>
      </w:hyperlink>
      <w:hyperlink r:id="rId38" w:history="1">
        <w:r w:rsidRPr="00513BF4">
          <w:rPr>
            <w:rStyle w:val="Hyperlink"/>
            <w:lang w:val="en-GB"/>
          </w:rPr>
          <w:t xml:space="preserve"> guidance</w:t>
        </w:r>
      </w:hyperlink>
    </w:p>
    <w:p w14:paraId="1C4B7715" w14:textId="77777777" w:rsidR="00CF6CDA" w:rsidRPr="00513BF4" w:rsidRDefault="00CF6CDA" w:rsidP="00F906B4">
      <w:pPr>
        <w:jc w:val="both"/>
        <w:rPr>
          <w:lang w:val="en-GB"/>
        </w:rPr>
      </w:pPr>
    </w:p>
    <w:sectPr w:rsidR="00CF6CDA" w:rsidRPr="00513BF4">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CB389" w14:textId="77777777" w:rsidR="001A1887" w:rsidRDefault="001A1887" w:rsidP="005F6BCB">
      <w:pPr>
        <w:spacing w:after="0" w:line="240" w:lineRule="auto"/>
      </w:pPr>
      <w:r>
        <w:separator/>
      </w:r>
    </w:p>
  </w:endnote>
  <w:endnote w:type="continuationSeparator" w:id="0">
    <w:p w14:paraId="1185E5BB" w14:textId="77777777" w:rsidR="001A1887" w:rsidRDefault="001A1887" w:rsidP="005F6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726378"/>
      <w:docPartObj>
        <w:docPartGallery w:val="Page Numbers (Bottom of Page)"/>
        <w:docPartUnique/>
      </w:docPartObj>
    </w:sdtPr>
    <w:sdtEndPr>
      <w:rPr>
        <w:noProof/>
      </w:rPr>
    </w:sdtEndPr>
    <w:sdtContent>
      <w:p w14:paraId="3890C02B" w14:textId="4682E6D0" w:rsidR="00827A2D" w:rsidRDefault="00827A2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C994106" w14:textId="77777777" w:rsidR="00827A2D" w:rsidRDefault="00827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33D83" w14:textId="77777777" w:rsidR="001A1887" w:rsidRDefault="001A1887" w:rsidP="005F6BCB">
      <w:pPr>
        <w:spacing w:after="0" w:line="240" w:lineRule="auto"/>
      </w:pPr>
      <w:r>
        <w:separator/>
      </w:r>
    </w:p>
  </w:footnote>
  <w:footnote w:type="continuationSeparator" w:id="0">
    <w:p w14:paraId="296394E7" w14:textId="77777777" w:rsidR="001A1887" w:rsidRDefault="001A1887" w:rsidP="005F6BCB">
      <w:pPr>
        <w:spacing w:after="0" w:line="240" w:lineRule="auto"/>
      </w:pPr>
      <w:r>
        <w:continuationSeparator/>
      </w:r>
    </w:p>
  </w:footnote>
  <w:footnote w:id="1">
    <w:p w14:paraId="566559BC" w14:textId="1D008C66" w:rsidR="00827A2D" w:rsidRDefault="00827A2D">
      <w:pPr>
        <w:pStyle w:val="FootnoteText"/>
      </w:pPr>
      <w:r>
        <w:rPr>
          <w:rStyle w:val="FootnoteReference"/>
        </w:rPr>
        <w:footnoteRef/>
      </w:r>
      <w:r>
        <w:t xml:space="preserve"> </w:t>
      </w:r>
      <w:r w:rsidRPr="00016825">
        <w:t>Nutrition outcomes shall be defined as improvement of the nutritional status (typically measured through WHZ, HAZ, MUAC) and improvement in the dietary intake of individuals (typically measured through MAD, MDD and MDD-W).</w:t>
      </w:r>
    </w:p>
  </w:footnote>
  <w:footnote w:id="2">
    <w:p w14:paraId="04A28FF2" w14:textId="6B26DA33" w:rsidR="00827A2D" w:rsidRDefault="00827A2D">
      <w:pPr>
        <w:pStyle w:val="FootnoteText"/>
      </w:pPr>
      <w:r>
        <w:rPr>
          <w:rStyle w:val="FootnoteReference"/>
        </w:rPr>
        <w:footnoteRef/>
      </w:r>
      <w:r>
        <w:t xml:space="preserve"> </w:t>
      </w:r>
      <w:r w:rsidRPr="00601843">
        <w:t>A nutritious diet is one that meets requirements for macro and micro-nutrients, including protein, vitamins and minerals, but does not exceed an individual’s energy and fat requirement.</w:t>
      </w:r>
    </w:p>
  </w:footnote>
  <w:footnote w:id="3">
    <w:p w14:paraId="16224F8C" w14:textId="0A4B840A" w:rsidR="00827A2D" w:rsidRPr="00BA41E1" w:rsidRDefault="00827A2D" w:rsidP="00FA2857">
      <w:pPr>
        <w:pStyle w:val="FootnoteText"/>
        <w:jc w:val="both"/>
        <w:rPr>
          <w:lang w:val="en-GB"/>
        </w:rPr>
      </w:pPr>
      <w:r w:rsidRPr="00BA41E1">
        <w:rPr>
          <w:rStyle w:val="FootnoteReference"/>
          <w:lang w:val="en-GB"/>
        </w:rPr>
        <w:footnoteRef/>
      </w:r>
      <w:r w:rsidRPr="00BA41E1">
        <w:rPr>
          <w:lang w:val="en-GB"/>
        </w:rPr>
        <w:t xml:space="preserve"> While the specific behaviours to be targeted through SBC will depend on context, they will typically include the following: pregnancy nutrition and care; optimal breastfeeding; appropriate complimentary feeding (including frequency, quantity, diversity); hygiene and sanitation; and quantity and diversity of complementary foods</w:t>
      </w:r>
      <w:r>
        <w:rPr>
          <w:lang w:val="en-GB"/>
        </w:rPr>
        <w:t>.</w:t>
      </w:r>
    </w:p>
  </w:footnote>
  <w:footnote w:id="4">
    <w:p w14:paraId="2BD79174" w14:textId="694BEDC0" w:rsidR="00827A2D" w:rsidRPr="00BA41E1" w:rsidRDefault="00827A2D" w:rsidP="00FA2857">
      <w:pPr>
        <w:pStyle w:val="FootnoteText"/>
        <w:jc w:val="both"/>
        <w:rPr>
          <w:lang w:val="en-GB"/>
        </w:rPr>
      </w:pPr>
      <w:r w:rsidRPr="00BA41E1">
        <w:rPr>
          <w:rStyle w:val="FootnoteReference"/>
          <w:lang w:val="en-GB"/>
        </w:rPr>
        <w:footnoteRef/>
      </w:r>
      <w:r w:rsidRPr="00BA41E1">
        <w:rPr>
          <w:lang w:val="en-GB"/>
        </w:rPr>
        <w:t xml:space="preserve"> Priority health services include services that can significantly impact the nutritional status of the population. They include vitamin A supplementation on admission for children 6-60 months, and 6 weeks postpartum for women; deworming treatment of all children; measles vaccination for all children between 9 months and 15 years of age; supplementation of iron and folic acid for PLWs; pre- and post-natal care</w:t>
      </w:r>
      <w:r>
        <w:rPr>
          <w:lang w:val="en-GB"/>
        </w:rPr>
        <w:t>.</w:t>
      </w:r>
    </w:p>
  </w:footnote>
  <w:footnote w:id="5">
    <w:p w14:paraId="20797828" w14:textId="77777777" w:rsidR="00827A2D" w:rsidRPr="003B2C6F" w:rsidRDefault="00827A2D" w:rsidP="00071A01">
      <w:pPr>
        <w:pStyle w:val="FootnoteText"/>
        <w:rPr>
          <w:lang w:val="en-GB"/>
        </w:rPr>
      </w:pPr>
      <w:r w:rsidRPr="003B2C6F">
        <w:rPr>
          <w:rStyle w:val="FootnoteReference"/>
          <w:lang w:val="en-GB"/>
        </w:rPr>
        <w:footnoteRef/>
      </w:r>
      <w:r w:rsidRPr="003B2C6F">
        <w:rPr>
          <w:lang w:val="en-GB"/>
        </w:rPr>
        <w:t xml:space="preserve"> If CVA can replace the traditional response modality, the objective of CVA is equivalent to the objective of the response itself. </w:t>
      </w:r>
    </w:p>
  </w:footnote>
  <w:footnote w:id="6">
    <w:p w14:paraId="5CF985ED" w14:textId="7C9CE8DC" w:rsidR="00827A2D" w:rsidRDefault="00827A2D" w:rsidP="00016825">
      <w:pPr>
        <w:pStyle w:val="FootnoteText"/>
      </w:pPr>
      <w:r>
        <w:rPr>
          <w:rStyle w:val="FootnoteReference"/>
        </w:rPr>
        <w:footnoteRef/>
      </w:r>
      <w:r>
        <w:t xml:space="preserve"> Household assistance shall be defined as assistance that is provided at household level in the form of in-kind, cash or vouchers based on average household requirements for food/nutrition and sometimes (but not necessarily) other basic needs. Household in-kind assistance typically includes general food distributions (GFD) and non-food item (NFI) distributions. Household CVA includes cash transfers or vouchers. Household cash transfers can be based on household food/nutrition requirements alone or on needs across different sectors, i.e. multi-purpose cash (MPC).</w:t>
      </w:r>
    </w:p>
  </w:footnote>
  <w:footnote w:id="7">
    <w:p w14:paraId="678190AE" w14:textId="2A9E393B" w:rsidR="00827A2D" w:rsidRDefault="00827A2D">
      <w:pPr>
        <w:pStyle w:val="FootnoteText"/>
      </w:pPr>
      <w:r>
        <w:rPr>
          <w:rStyle w:val="FootnoteReference"/>
        </w:rPr>
        <w:footnoteRef/>
      </w:r>
      <w:r>
        <w:t xml:space="preserve"> Individual feeding assistance shall be defined as assistance that is provided to meet the macro and micro-nutrient requirements of individuals (typically PLW or children under 59 months) in the form of in-kind foods, cash or vouchers. It includes supplementary feeding, complementary feeding and micronutrient supplementation.</w:t>
      </w:r>
    </w:p>
  </w:footnote>
  <w:footnote w:id="8">
    <w:p w14:paraId="4C4DDE7E" w14:textId="77777777" w:rsidR="00827A2D" w:rsidRDefault="00827A2D" w:rsidP="0099578D">
      <w:pPr>
        <w:pStyle w:val="FootnoteText"/>
        <w:jc w:val="both"/>
      </w:pPr>
      <w:r>
        <w:rPr>
          <w:rStyle w:val="FootnoteReference"/>
        </w:rPr>
        <w:footnoteRef/>
      </w:r>
      <w:r>
        <w:t xml:space="preserve"> Multipurpose Cash Transfers (MPC) are transfers (either periodic or one-off) corresponding to the amount of money required to cover, fully or partially, a household’s basic and/or recovery needs. The term refers to cash transfers designed to address multiple needs, with the transfer value calculated accordingly. MPC transfer values are often indexed to expenditure gaps based on a Minimum Expenditure Basket (MEB), or other monetized calculation of the amount required to cover basic needs. All MPC are unrestricted in terms of use as they can be spent as the recipient chooses. (</w:t>
      </w:r>
      <w:proofErr w:type="spellStart"/>
      <w:r>
        <w:t>CaLP</w:t>
      </w:r>
      <w:proofErr w:type="spellEnd"/>
      <w:r>
        <w:t xml:space="preserve"> Glossary)</w:t>
      </w:r>
    </w:p>
  </w:footnote>
  <w:footnote w:id="9">
    <w:p w14:paraId="09D86EB4" w14:textId="77777777" w:rsidR="00827A2D" w:rsidRPr="003B2C6F" w:rsidRDefault="00827A2D" w:rsidP="002A4BA1">
      <w:pPr>
        <w:pStyle w:val="FootnoteText"/>
        <w:rPr>
          <w:lang w:val="en-GB"/>
        </w:rPr>
      </w:pPr>
      <w:r w:rsidRPr="003B2C6F">
        <w:rPr>
          <w:rStyle w:val="FootnoteReference"/>
          <w:lang w:val="en-GB"/>
        </w:rPr>
        <w:footnoteRef/>
      </w:r>
      <w:r w:rsidRPr="003B2C6F">
        <w:rPr>
          <w:lang w:val="en-GB"/>
        </w:rPr>
        <w:t xml:space="preserve"> Sphere food assistance standard 6.1.: Design food and cash-based assistance to meet the standard initial planning requirements for energy, protein, fat and micronutrients.</w:t>
      </w:r>
    </w:p>
  </w:footnote>
  <w:footnote w:id="10">
    <w:p w14:paraId="5862EFB6" w14:textId="06CF54E5" w:rsidR="00827A2D" w:rsidRDefault="00827A2D">
      <w:pPr>
        <w:pStyle w:val="FootnoteText"/>
      </w:pPr>
      <w:r>
        <w:rPr>
          <w:rStyle w:val="FootnoteReference"/>
        </w:rPr>
        <w:footnoteRef/>
      </w:r>
      <w:r>
        <w:t xml:space="preserve"> D</w:t>
      </w:r>
      <w:r w:rsidRPr="007C3AE2">
        <w:t xml:space="preserve">irect costs </w:t>
      </w:r>
      <w:r>
        <w:t>can include</w:t>
      </w:r>
      <w:r w:rsidRPr="007C3AE2">
        <w:t xml:space="preserve"> consultation fees, diagnostic tests and/or medicines</w:t>
      </w:r>
      <w:r>
        <w:t>. I</w:t>
      </w:r>
      <w:r w:rsidRPr="007C3AE2">
        <w:t xml:space="preserve">ndirect costs </w:t>
      </w:r>
      <w:r>
        <w:t xml:space="preserve">can include </w:t>
      </w:r>
      <w:r w:rsidRPr="007C3AE2">
        <w:t>transport or accommodation costs</w:t>
      </w:r>
      <w:r>
        <w:t>.</w:t>
      </w:r>
    </w:p>
  </w:footnote>
  <w:footnote w:id="11">
    <w:p w14:paraId="4F2B662D" w14:textId="7D0DE452" w:rsidR="00827A2D" w:rsidRDefault="00827A2D" w:rsidP="002A4BA1">
      <w:pPr>
        <w:pStyle w:val="FootnoteText"/>
        <w:jc w:val="both"/>
      </w:pPr>
      <w:r>
        <w:rPr>
          <w:rStyle w:val="FootnoteReference"/>
        </w:rPr>
        <w:footnoteRef/>
      </w:r>
      <w:r>
        <w:t xml:space="preserve"> The calculation is based on an average household size of 6. For the purpose of the calculation, red sorghum was selected as the cereal. </w:t>
      </w:r>
    </w:p>
  </w:footnote>
  <w:footnote w:id="12">
    <w:p w14:paraId="10962952" w14:textId="77777777" w:rsidR="00827A2D" w:rsidRDefault="00827A2D" w:rsidP="00F435AE">
      <w:pPr>
        <w:pStyle w:val="FootnoteText"/>
      </w:pPr>
      <w:r>
        <w:rPr>
          <w:rStyle w:val="FootnoteReference"/>
        </w:rPr>
        <w:footnoteRef/>
      </w:r>
      <w:r>
        <w:t xml:space="preserve"> </w:t>
      </w:r>
      <w:r w:rsidRPr="00BC2A73">
        <w:t>The lowest cost nutritious diet was estimated for a model household of five members, which included a breastfed child 12–23 months, a child 6–7 years, an adolescent girl 14– 15 years, a lactating woman and an adult man.</w:t>
      </w:r>
    </w:p>
  </w:footnote>
  <w:footnote w:id="13">
    <w:p w14:paraId="1D9EE8C2" w14:textId="4F802903" w:rsidR="00827A2D" w:rsidRPr="00BA41E1" w:rsidRDefault="00827A2D" w:rsidP="00F906B4">
      <w:pPr>
        <w:pStyle w:val="FootnoteText"/>
        <w:jc w:val="both"/>
        <w:rPr>
          <w:lang w:val="en-GB"/>
        </w:rPr>
      </w:pPr>
      <w:r w:rsidRPr="00BA41E1">
        <w:rPr>
          <w:rStyle w:val="FootnoteReference"/>
          <w:lang w:val="en-GB"/>
        </w:rPr>
        <w:footnoteRef/>
      </w:r>
      <w:r w:rsidRPr="00BA41E1">
        <w:rPr>
          <w:lang w:val="en-GB"/>
        </w:rPr>
        <w:t xml:space="preserve"> Since the 2008 Lancet series, there is a broad consensus within the nutrition community that good nutrition within the first 1000 days, i.e. the time period from child's conception through to her second birthday, has lasting benefits on the cognitive and physical development of children.</w:t>
      </w:r>
    </w:p>
  </w:footnote>
  <w:footnote w:id="14">
    <w:p w14:paraId="59FFE68C" w14:textId="77777777" w:rsidR="00034937" w:rsidRPr="00B24E1A" w:rsidRDefault="00034937" w:rsidP="00034937">
      <w:pPr>
        <w:pStyle w:val="FootnoteText"/>
      </w:pPr>
      <w:r>
        <w:rPr>
          <w:rStyle w:val="FootnoteReference"/>
        </w:rPr>
        <w:footnoteRef/>
      </w:r>
      <w:r w:rsidRPr="00B24E1A">
        <w:t xml:space="preserve"> This table is a</w:t>
      </w:r>
      <w:r>
        <w:t xml:space="preserve">dopted from </w:t>
      </w:r>
      <w:r w:rsidRPr="003D4225">
        <w:rPr>
          <w:lang w:val="en-GB"/>
        </w:rPr>
        <w:t>De Groot et al., 2015, and Fenn, 2017</w:t>
      </w:r>
      <w:r>
        <w:rPr>
          <w:lang w:val="en-GB"/>
        </w:rPr>
        <w:t>, and updated based on new evidence.</w:t>
      </w:r>
    </w:p>
  </w:footnote>
  <w:footnote w:id="15">
    <w:p w14:paraId="493C6240" w14:textId="77777777" w:rsidR="00034937" w:rsidRPr="00F35563" w:rsidRDefault="00034937" w:rsidP="00034937">
      <w:pPr>
        <w:pStyle w:val="FootnoteText"/>
        <w:rPr>
          <w:lang w:val="en-GB"/>
        </w:rPr>
      </w:pPr>
      <w:r w:rsidRPr="00F35563">
        <w:rPr>
          <w:rStyle w:val="FootnoteReference"/>
          <w:lang w:val="en-GB"/>
        </w:rPr>
        <w:footnoteRef/>
      </w:r>
      <w:r w:rsidRPr="00B24E1A">
        <w:t xml:space="preserve"> Grijalva-Eternod et al. </w:t>
      </w:r>
      <w:r w:rsidRPr="00F35563">
        <w:rPr>
          <w:lang w:val="en-GB"/>
        </w:rPr>
        <w:t>(2018) acknowledge that they cannot satisfactorily explain the lack of impact of the intervention on the risk of malnutrition in children and raise the question whether modifications to these interventions such as adding specialized nutritious foods or SBC activities could make a difference. Sibson et al. (2018) suggest that the surge in malaria limited the effectiveness of the intervention. Houngbe et al. (2017) suggest that the transfer amount might have been too low to address the needs of the household and the children’s specific needs.</w:t>
      </w:r>
    </w:p>
  </w:footnote>
  <w:footnote w:id="16">
    <w:p w14:paraId="2C91FF7A" w14:textId="77777777" w:rsidR="00034937" w:rsidRPr="00F35563" w:rsidRDefault="00034937" w:rsidP="00034937">
      <w:pPr>
        <w:pStyle w:val="FootnoteText"/>
        <w:rPr>
          <w:lang w:val="en-GB"/>
        </w:rPr>
      </w:pPr>
      <w:r w:rsidRPr="00F35563">
        <w:rPr>
          <w:rStyle w:val="FootnoteReference"/>
          <w:lang w:val="en-GB"/>
        </w:rPr>
        <w:footnoteRef/>
      </w:r>
      <w:r w:rsidRPr="00F35563">
        <w:rPr>
          <w:lang w:val="en-GB"/>
        </w:rPr>
        <w:t xml:space="preserve"> Double cash was twice the amount of single cash</w:t>
      </w:r>
      <w:r>
        <w:rPr>
          <w:lang w:val="en-GB"/>
        </w:rPr>
        <w:t xml:space="preserve"> (disbursed at the same time?)</w:t>
      </w:r>
    </w:p>
  </w:footnote>
  <w:footnote w:id="17">
    <w:p w14:paraId="7802B712" w14:textId="77777777" w:rsidR="00034937" w:rsidRPr="00F35563" w:rsidRDefault="00034937" w:rsidP="00034937">
      <w:pPr>
        <w:pStyle w:val="FootnoteText"/>
        <w:rPr>
          <w:lang w:val="en-GB"/>
        </w:rPr>
      </w:pPr>
      <w:r w:rsidRPr="00F35563">
        <w:rPr>
          <w:rStyle w:val="FootnoteReference"/>
          <w:lang w:val="en-GB"/>
        </w:rPr>
        <w:footnoteRef/>
      </w:r>
      <w:r w:rsidRPr="00F35563">
        <w:rPr>
          <w:lang w:val="en-GB"/>
        </w:rPr>
        <w:t xml:space="preserve"> Increased expenditure on food for children does not automatically translate into improved nutrition status. Bliss et al. (2016) researched the factors associated with the risk of acute malnutrition among children aged 6 to 36 months in households targeted by emergency cash transfers in Niger. They found that food expenditures for children and other diet-related factors were not associated with the risk of acute malnutrition. Rather, low baseline weight-for-height Z-score (WHZ), baseline household poverty status, and the occurrence of child illness were significantly associated with high risk.</w:t>
      </w:r>
    </w:p>
  </w:footnote>
  <w:footnote w:id="18">
    <w:p w14:paraId="5314D984" w14:textId="77777777" w:rsidR="000B5C99" w:rsidRDefault="000B5C99" w:rsidP="000B5C99">
      <w:pPr>
        <w:pStyle w:val="FootnoteText"/>
      </w:pPr>
      <w:r>
        <w:rPr>
          <w:rStyle w:val="FootnoteReference"/>
        </w:rPr>
        <w:footnoteRef/>
      </w:r>
      <w:r>
        <w:t xml:space="preserve"> An example for a multi-sectoral CSI developed in Afghanistan can be found </w:t>
      </w:r>
      <w:hyperlink r:id="rId1" w:history="1">
        <w:r w:rsidRPr="00BD433B">
          <w:rPr>
            <w:rStyle w:val="Hyperlink"/>
          </w:rPr>
          <w:t>here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4A67"/>
    <w:multiLevelType w:val="hybridMultilevel"/>
    <w:tmpl w:val="3C54D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C6B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432C3A"/>
    <w:multiLevelType w:val="hybridMultilevel"/>
    <w:tmpl w:val="DA848B8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395FE1"/>
    <w:multiLevelType w:val="hybridMultilevel"/>
    <w:tmpl w:val="B642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91BCD"/>
    <w:multiLevelType w:val="hybridMultilevel"/>
    <w:tmpl w:val="B3D47F1E"/>
    <w:lvl w:ilvl="0" w:tplc="824AC91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F42C3"/>
    <w:multiLevelType w:val="hybridMultilevel"/>
    <w:tmpl w:val="CAC8C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03BF4"/>
    <w:multiLevelType w:val="hybridMultilevel"/>
    <w:tmpl w:val="75F6EFE2"/>
    <w:lvl w:ilvl="0" w:tplc="624211F0">
      <w:start w:val="1"/>
      <w:numFmt w:val="bullet"/>
      <w:lvlText w:val="-"/>
      <w:lvlJc w:val="left"/>
      <w:pPr>
        <w:tabs>
          <w:tab w:val="num" w:pos="360"/>
        </w:tabs>
        <w:ind w:left="360" w:hanging="360"/>
      </w:pPr>
      <w:rPr>
        <w:rFonts w:ascii="Times New Roman" w:hAnsi="Times New Roman" w:hint="default"/>
      </w:rPr>
    </w:lvl>
    <w:lvl w:ilvl="1" w:tplc="6B7CFFEE" w:tentative="1">
      <w:start w:val="1"/>
      <w:numFmt w:val="bullet"/>
      <w:lvlText w:val="-"/>
      <w:lvlJc w:val="left"/>
      <w:pPr>
        <w:tabs>
          <w:tab w:val="num" w:pos="1080"/>
        </w:tabs>
        <w:ind w:left="1080" w:hanging="360"/>
      </w:pPr>
      <w:rPr>
        <w:rFonts w:ascii="Times New Roman" w:hAnsi="Times New Roman" w:hint="default"/>
      </w:rPr>
    </w:lvl>
    <w:lvl w:ilvl="2" w:tplc="EE608476" w:tentative="1">
      <w:start w:val="1"/>
      <w:numFmt w:val="bullet"/>
      <w:lvlText w:val="-"/>
      <w:lvlJc w:val="left"/>
      <w:pPr>
        <w:tabs>
          <w:tab w:val="num" w:pos="1800"/>
        </w:tabs>
        <w:ind w:left="1800" w:hanging="360"/>
      </w:pPr>
      <w:rPr>
        <w:rFonts w:ascii="Times New Roman" w:hAnsi="Times New Roman" w:hint="default"/>
      </w:rPr>
    </w:lvl>
    <w:lvl w:ilvl="3" w:tplc="022A6EAA" w:tentative="1">
      <w:start w:val="1"/>
      <w:numFmt w:val="bullet"/>
      <w:lvlText w:val="-"/>
      <w:lvlJc w:val="left"/>
      <w:pPr>
        <w:tabs>
          <w:tab w:val="num" w:pos="2520"/>
        </w:tabs>
        <w:ind w:left="2520" w:hanging="360"/>
      </w:pPr>
      <w:rPr>
        <w:rFonts w:ascii="Times New Roman" w:hAnsi="Times New Roman" w:hint="default"/>
      </w:rPr>
    </w:lvl>
    <w:lvl w:ilvl="4" w:tplc="08783904" w:tentative="1">
      <w:start w:val="1"/>
      <w:numFmt w:val="bullet"/>
      <w:lvlText w:val="-"/>
      <w:lvlJc w:val="left"/>
      <w:pPr>
        <w:tabs>
          <w:tab w:val="num" w:pos="3240"/>
        </w:tabs>
        <w:ind w:left="3240" w:hanging="360"/>
      </w:pPr>
      <w:rPr>
        <w:rFonts w:ascii="Times New Roman" w:hAnsi="Times New Roman" w:hint="default"/>
      </w:rPr>
    </w:lvl>
    <w:lvl w:ilvl="5" w:tplc="DFDA478C" w:tentative="1">
      <w:start w:val="1"/>
      <w:numFmt w:val="bullet"/>
      <w:lvlText w:val="-"/>
      <w:lvlJc w:val="left"/>
      <w:pPr>
        <w:tabs>
          <w:tab w:val="num" w:pos="3960"/>
        </w:tabs>
        <w:ind w:left="3960" w:hanging="360"/>
      </w:pPr>
      <w:rPr>
        <w:rFonts w:ascii="Times New Roman" w:hAnsi="Times New Roman" w:hint="default"/>
      </w:rPr>
    </w:lvl>
    <w:lvl w:ilvl="6" w:tplc="5DB07B70" w:tentative="1">
      <w:start w:val="1"/>
      <w:numFmt w:val="bullet"/>
      <w:lvlText w:val="-"/>
      <w:lvlJc w:val="left"/>
      <w:pPr>
        <w:tabs>
          <w:tab w:val="num" w:pos="4680"/>
        </w:tabs>
        <w:ind w:left="4680" w:hanging="360"/>
      </w:pPr>
      <w:rPr>
        <w:rFonts w:ascii="Times New Roman" w:hAnsi="Times New Roman" w:hint="default"/>
      </w:rPr>
    </w:lvl>
    <w:lvl w:ilvl="7" w:tplc="FA6452CE" w:tentative="1">
      <w:start w:val="1"/>
      <w:numFmt w:val="bullet"/>
      <w:lvlText w:val="-"/>
      <w:lvlJc w:val="left"/>
      <w:pPr>
        <w:tabs>
          <w:tab w:val="num" w:pos="5400"/>
        </w:tabs>
        <w:ind w:left="5400" w:hanging="360"/>
      </w:pPr>
      <w:rPr>
        <w:rFonts w:ascii="Times New Roman" w:hAnsi="Times New Roman" w:hint="default"/>
      </w:rPr>
    </w:lvl>
    <w:lvl w:ilvl="8" w:tplc="15D63AC2"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200930ED"/>
    <w:multiLevelType w:val="hybridMultilevel"/>
    <w:tmpl w:val="13980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901DE4"/>
    <w:multiLevelType w:val="hybridMultilevel"/>
    <w:tmpl w:val="B8320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483600"/>
    <w:multiLevelType w:val="hybridMultilevel"/>
    <w:tmpl w:val="CA1874D0"/>
    <w:lvl w:ilvl="0" w:tplc="C4CC775C">
      <w:start w:val="1"/>
      <w:numFmt w:val="bullet"/>
      <w:lvlText w:val="-"/>
      <w:lvlJc w:val="left"/>
      <w:pPr>
        <w:tabs>
          <w:tab w:val="num" w:pos="360"/>
        </w:tabs>
        <w:ind w:left="360" w:hanging="360"/>
      </w:pPr>
      <w:rPr>
        <w:rFonts w:ascii="Times New Roman" w:hAnsi="Times New Roman" w:hint="default"/>
      </w:rPr>
    </w:lvl>
    <w:lvl w:ilvl="1" w:tplc="A9B61A8E" w:tentative="1">
      <w:start w:val="1"/>
      <w:numFmt w:val="bullet"/>
      <w:lvlText w:val="-"/>
      <w:lvlJc w:val="left"/>
      <w:pPr>
        <w:tabs>
          <w:tab w:val="num" w:pos="1080"/>
        </w:tabs>
        <w:ind w:left="1080" w:hanging="360"/>
      </w:pPr>
      <w:rPr>
        <w:rFonts w:ascii="Times New Roman" w:hAnsi="Times New Roman" w:hint="default"/>
      </w:rPr>
    </w:lvl>
    <w:lvl w:ilvl="2" w:tplc="42BEEF4C" w:tentative="1">
      <w:start w:val="1"/>
      <w:numFmt w:val="bullet"/>
      <w:lvlText w:val="-"/>
      <w:lvlJc w:val="left"/>
      <w:pPr>
        <w:tabs>
          <w:tab w:val="num" w:pos="1800"/>
        </w:tabs>
        <w:ind w:left="1800" w:hanging="360"/>
      </w:pPr>
      <w:rPr>
        <w:rFonts w:ascii="Times New Roman" w:hAnsi="Times New Roman" w:hint="default"/>
      </w:rPr>
    </w:lvl>
    <w:lvl w:ilvl="3" w:tplc="FADC7506" w:tentative="1">
      <w:start w:val="1"/>
      <w:numFmt w:val="bullet"/>
      <w:lvlText w:val="-"/>
      <w:lvlJc w:val="left"/>
      <w:pPr>
        <w:tabs>
          <w:tab w:val="num" w:pos="2520"/>
        </w:tabs>
        <w:ind w:left="2520" w:hanging="360"/>
      </w:pPr>
      <w:rPr>
        <w:rFonts w:ascii="Times New Roman" w:hAnsi="Times New Roman" w:hint="default"/>
      </w:rPr>
    </w:lvl>
    <w:lvl w:ilvl="4" w:tplc="F3524724" w:tentative="1">
      <w:start w:val="1"/>
      <w:numFmt w:val="bullet"/>
      <w:lvlText w:val="-"/>
      <w:lvlJc w:val="left"/>
      <w:pPr>
        <w:tabs>
          <w:tab w:val="num" w:pos="3240"/>
        </w:tabs>
        <w:ind w:left="3240" w:hanging="360"/>
      </w:pPr>
      <w:rPr>
        <w:rFonts w:ascii="Times New Roman" w:hAnsi="Times New Roman" w:hint="default"/>
      </w:rPr>
    </w:lvl>
    <w:lvl w:ilvl="5" w:tplc="805E02BC" w:tentative="1">
      <w:start w:val="1"/>
      <w:numFmt w:val="bullet"/>
      <w:lvlText w:val="-"/>
      <w:lvlJc w:val="left"/>
      <w:pPr>
        <w:tabs>
          <w:tab w:val="num" w:pos="3960"/>
        </w:tabs>
        <w:ind w:left="3960" w:hanging="360"/>
      </w:pPr>
      <w:rPr>
        <w:rFonts w:ascii="Times New Roman" w:hAnsi="Times New Roman" w:hint="default"/>
      </w:rPr>
    </w:lvl>
    <w:lvl w:ilvl="6" w:tplc="37507E06" w:tentative="1">
      <w:start w:val="1"/>
      <w:numFmt w:val="bullet"/>
      <w:lvlText w:val="-"/>
      <w:lvlJc w:val="left"/>
      <w:pPr>
        <w:tabs>
          <w:tab w:val="num" w:pos="4680"/>
        </w:tabs>
        <w:ind w:left="4680" w:hanging="360"/>
      </w:pPr>
      <w:rPr>
        <w:rFonts w:ascii="Times New Roman" w:hAnsi="Times New Roman" w:hint="default"/>
      </w:rPr>
    </w:lvl>
    <w:lvl w:ilvl="7" w:tplc="2FF40C7A" w:tentative="1">
      <w:start w:val="1"/>
      <w:numFmt w:val="bullet"/>
      <w:lvlText w:val="-"/>
      <w:lvlJc w:val="left"/>
      <w:pPr>
        <w:tabs>
          <w:tab w:val="num" w:pos="5400"/>
        </w:tabs>
        <w:ind w:left="5400" w:hanging="360"/>
      </w:pPr>
      <w:rPr>
        <w:rFonts w:ascii="Times New Roman" w:hAnsi="Times New Roman" w:hint="default"/>
      </w:rPr>
    </w:lvl>
    <w:lvl w:ilvl="8" w:tplc="22707F78" w:tentative="1">
      <w:start w:val="1"/>
      <w:numFmt w:val="bullet"/>
      <w:lvlText w:val="-"/>
      <w:lvlJc w:val="left"/>
      <w:pPr>
        <w:tabs>
          <w:tab w:val="num" w:pos="6120"/>
        </w:tabs>
        <w:ind w:left="6120" w:hanging="360"/>
      </w:pPr>
      <w:rPr>
        <w:rFonts w:ascii="Times New Roman" w:hAnsi="Times New Roman" w:hint="default"/>
      </w:rPr>
    </w:lvl>
  </w:abstractNum>
  <w:abstractNum w:abstractNumId="10" w15:restartNumberingAfterBreak="0">
    <w:nsid w:val="2510006E"/>
    <w:multiLevelType w:val="hybridMultilevel"/>
    <w:tmpl w:val="51BA9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A4733C"/>
    <w:multiLevelType w:val="hybridMultilevel"/>
    <w:tmpl w:val="108C15A8"/>
    <w:lvl w:ilvl="0" w:tplc="F4224654">
      <w:start w:val="5"/>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0C4303"/>
    <w:multiLevelType w:val="hybridMultilevel"/>
    <w:tmpl w:val="3ACE3C16"/>
    <w:lvl w:ilvl="0" w:tplc="6AFA80E8">
      <w:start w:val="1"/>
      <w:numFmt w:val="bullet"/>
      <w:lvlText w:val="-"/>
      <w:lvlJc w:val="left"/>
      <w:pPr>
        <w:tabs>
          <w:tab w:val="num" w:pos="360"/>
        </w:tabs>
        <w:ind w:left="360" w:hanging="360"/>
      </w:pPr>
      <w:rPr>
        <w:rFonts w:ascii="Times New Roman" w:hAnsi="Times New Roman" w:hint="default"/>
      </w:rPr>
    </w:lvl>
    <w:lvl w:ilvl="1" w:tplc="DB56F222" w:tentative="1">
      <w:start w:val="1"/>
      <w:numFmt w:val="bullet"/>
      <w:lvlText w:val="-"/>
      <w:lvlJc w:val="left"/>
      <w:pPr>
        <w:tabs>
          <w:tab w:val="num" w:pos="1080"/>
        </w:tabs>
        <w:ind w:left="1080" w:hanging="360"/>
      </w:pPr>
      <w:rPr>
        <w:rFonts w:ascii="Times New Roman" w:hAnsi="Times New Roman" w:hint="default"/>
      </w:rPr>
    </w:lvl>
    <w:lvl w:ilvl="2" w:tplc="B344F02A" w:tentative="1">
      <w:start w:val="1"/>
      <w:numFmt w:val="bullet"/>
      <w:lvlText w:val="-"/>
      <w:lvlJc w:val="left"/>
      <w:pPr>
        <w:tabs>
          <w:tab w:val="num" w:pos="1800"/>
        </w:tabs>
        <w:ind w:left="1800" w:hanging="360"/>
      </w:pPr>
      <w:rPr>
        <w:rFonts w:ascii="Times New Roman" w:hAnsi="Times New Roman" w:hint="default"/>
      </w:rPr>
    </w:lvl>
    <w:lvl w:ilvl="3" w:tplc="00B44BE2" w:tentative="1">
      <w:start w:val="1"/>
      <w:numFmt w:val="bullet"/>
      <w:lvlText w:val="-"/>
      <w:lvlJc w:val="left"/>
      <w:pPr>
        <w:tabs>
          <w:tab w:val="num" w:pos="2520"/>
        </w:tabs>
        <w:ind w:left="2520" w:hanging="360"/>
      </w:pPr>
      <w:rPr>
        <w:rFonts w:ascii="Times New Roman" w:hAnsi="Times New Roman" w:hint="default"/>
      </w:rPr>
    </w:lvl>
    <w:lvl w:ilvl="4" w:tplc="97947CD4" w:tentative="1">
      <w:start w:val="1"/>
      <w:numFmt w:val="bullet"/>
      <w:lvlText w:val="-"/>
      <w:lvlJc w:val="left"/>
      <w:pPr>
        <w:tabs>
          <w:tab w:val="num" w:pos="3240"/>
        </w:tabs>
        <w:ind w:left="3240" w:hanging="360"/>
      </w:pPr>
      <w:rPr>
        <w:rFonts w:ascii="Times New Roman" w:hAnsi="Times New Roman" w:hint="default"/>
      </w:rPr>
    </w:lvl>
    <w:lvl w:ilvl="5" w:tplc="53009978" w:tentative="1">
      <w:start w:val="1"/>
      <w:numFmt w:val="bullet"/>
      <w:lvlText w:val="-"/>
      <w:lvlJc w:val="left"/>
      <w:pPr>
        <w:tabs>
          <w:tab w:val="num" w:pos="3960"/>
        </w:tabs>
        <w:ind w:left="3960" w:hanging="360"/>
      </w:pPr>
      <w:rPr>
        <w:rFonts w:ascii="Times New Roman" w:hAnsi="Times New Roman" w:hint="default"/>
      </w:rPr>
    </w:lvl>
    <w:lvl w:ilvl="6" w:tplc="1646DC3E" w:tentative="1">
      <w:start w:val="1"/>
      <w:numFmt w:val="bullet"/>
      <w:lvlText w:val="-"/>
      <w:lvlJc w:val="left"/>
      <w:pPr>
        <w:tabs>
          <w:tab w:val="num" w:pos="4680"/>
        </w:tabs>
        <w:ind w:left="4680" w:hanging="360"/>
      </w:pPr>
      <w:rPr>
        <w:rFonts w:ascii="Times New Roman" w:hAnsi="Times New Roman" w:hint="default"/>
      </w:rPr>
    </w:lvl>
    <w:lvl w:ilvl="7" w:tplc="F5D6CFD6" w:tentative="1">
      <w:start w:val="1"/>
      <w:numFmt w:val="bullet"/>
      <w:lvlText w:val="-"/>
      <w:lvlJc w:val="left"/>
      <w:pPr>
        <w:tabs>
          <w:tab w:val="num" w:pos="5400"/>
        </w:tabs>
        <w:ind w:left="5400" w:hanging="360"/>
      </w:pPr>
      <w:rPr>
        <w:rFonts w:ascii="Times New Roman" w:hAnsi="Times New Roman" w:hint="default"/>
      </w:rPr>
    </w:lvl>
    <w:lvl w:ilvl="8" w:tplc="0494DB0E" w:tentative="1">
      <w:start w:val="1"/>
      <w:numFmt w:val="bullet"/>
      <w:lvlText w:val="-"/>
      <w:lvlJc w:val="left"/>
      <w:pPr>
        <w:tabs>
          <w:tab w:val="num" w:pos="6120"/>
        </w:tabs>
        <w:ind w:left="6120" w:hanging="360"/>
      </w:pPr>
      <w:rPr>
        <w:rFonts w:ascii="Times New Roman" w:hAnsi="Times New Roman" w:hint="default"/>
      </w:rPr>
    </w:lvl>
  </w:abstractNum>
  <w:abstractNum w:abstractNumId="13" w15:restartNumberingAfterBreak="0">
    <w:nsid w:val="2F4F291D"/>
    <w:multiLevelType w:val="hybridMultilevel"/>
    <w:tmpl w:val="DE029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E73A83"/>
    <w:multiLevelType w:val="hybridMultilevel"/>
    <w:tmpl w:val="E4E6D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535C3"/>
    <w:multiLevelType w:val="multilevel"/>
    <w:tmpl w:val="CEA2A6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8DD3077"/>
    <w:multiLevelType w:val="hybridMultilevel"/>
    <w:tmpl w:val="1C38D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3726D3"/>
    <w:multiLevelType w:val="hybridMultilevel"/>
    <w:tmpl w:val="2DBA8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61326C"/>
    <w:multiLevelType w:val="hybridMultilevel"/>
    <w:tmpl w:val="445E2F7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3C8A333A"/>
    <w:multiLevelType w:val="hybridMultilevel"/>
    <w:tmpl w:val="FC563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526FC"/>
    <w:multiLevelType w:val="hybridMultilevel"/>
    <w:tmpl w:val="2DAC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585FBB"/>
    <w:multiLevelType w:val="hybridMultilevel"/>
    <w:tmpl w:val="BA640890"/>
    <w:lvl w:ilvl="0" w:tplc="04090001">
      <w:start w:val="1"/>
      <w:numFmt w:val="bullet"/>
      <w:lvlText w:val=""/>
      <w:lvlJc w:val="left"/>
      <w:pPr>
        <w:ind w:left="360" w:hanging="360"/>
      </w:pPr>
      <w:rPr>
        <w:rFonts w:ascii="Symbol" w:hAnsi="Symbol" w:hint="default"/>
      </w:rPr>
    </w:lvl>
    <w:lvl w:ilvl="1" w:tplc="8DF8D2F0">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FDF035E"/>
    <w:multiLevelType w:val="hybridMultilevel"/>
    <w:tmpl w:val="C1B4A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6E0740"/>
    <w:multiLevelType w:val="hybridMultilevel"/>
    <w:tmpl w:val="A7448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CE2194"/>
    <w:multiLevelType w:val="hybridMultilevel"/>
    <w:tmpl w:val="ACA48A60"/>
    <w:lvl w:ilvl="0" w:tplc="E9F0627A">
      <w:start w:val="1"/>
      <w:numFmt w:val="bullet"/>
      <w:lvlText w:val="-"/>
      <w:lvlJc w:val="left"/>
      <w:pPr>
        <w:tabs>
          <w:tab w:val="num" w:pos="360"/>
        </w:tabs>
        <w:ind w:left="360" w:hanging="360"/>
      </w:pPr>
      <w:rPr>
        <w:rFonts w:ascii="Times New Roman" w:hAnsi="Times New Roman" w:hint="default"/>
      </w:rPr>
    </w:lvl>
    <w:lvl w:ilvl="1" w:tplc="67EE79F8" w:tentative="1">
      <w:start w:val="1"/>
      <w:numFmt w:val="bullet"/>
      <w:lvlText w:val="-"/>
      <w:lvlJc w:val="left"/>
      <w:pPr>
        <w:tabs>
          <w:tab w:val="num" w:pos="1080"/>
        </w:tabs>
        <w:ind w:left="1080" w:hanging="360"/>
      </w:pPr>
      <w:rPr>
        <w:rFonts w:ascii="Times New Roman" w:hAnsi="Times New Roman" w:hint="default"/>
      </w:rPr>
    </w:lvl>
    <w:lvl w:ilvl="2" w:tplc="BDDEA7C6" w:tentative="1">
      <w:start w:val="1"/>
      <w:numFmt w:val="bullet"/>
      <w:lvlText w:val="-"/>
      <w:lvlJc w:val="left"/>
      <w:pPr>
        <w:tabs>
          <w:tab w:val="num" w:pos="1800"/>
        </w:tabs>
        <w:ind w:left="1800" w:hanging="360"/>
      </w:pPr>
      <w:rPr>
        <w:rFonts w:ascii="Times New Roman" w:hAnsi="Times New Roman" w:hint="default"/>
      </w:rPr>
    </w:lvl>
    <w:lvl w:ilvl="3" w:tplc="C726995C" w:tentative="1">
      <w:start w:val="1"/>
      <w:numFmt w:val="bullet"/>
      <w:lvlText w:val="-"/>
      <w:lvlJc w:val="left"/>
      <w:pPr>
        <w:tabs>
          <w:tab w:val="num" w:pos="2520"/>
        </w:tabs>
        <w:ind w:left="2520" w:hanging="360"/>
      </w:pPr>
      <w:rPr>
        <w:rFonts w:ascii="Times New Roman" w:hAnsi="Times New Roman" w:hint="default"/>
      </w:rPr>
    </w:lvl>
    <w:lvl w:ilvl="4" w:tplc="FE4C71EA" w:tentative="1">
      <w:start w:val="1"/>
      <w:numFmt w:val="bullet"/>
      <w:lvlText w:val="-"/>
      <w:lvlJc w:val="left"/>
      <w:pPr>
        <w:tabs>
          <w:tab w:val="num" w:pos="3240"/>
        </w:tabs>
        <w:ind w:left="3240" w:hanging="360"/>
      </w:pPr>
      <w:rPr>
        <w:rFonts w:ascii="Times New Roman" w:hAnsi="Times New Roman" w:hint="default"/>
      </w:rPr>
    </w:lvl>
    <w:lvl w:ilvl="5" w:tplc="80167312" w:tentative="1">
      <w:start w:val="1"/>
      <w:numFmt w:val="bullet"/>
      <w:lvlText w:val="-"/>
      <w:lvlJc w:val="left"/>
      <w:pPr>
        <w:tabs>
          <w:tab w:val="num" w:pos="3960"/>
        </w:tabs>
        <w:ind w:left="3960" w:hanging="360"/>
      </w:pPr>
      <w:rPr>
        <w:rFonts w:ascii="Times New Roman" w:hAnsi="Times New Roman" w:hint="default"/>
      </w:rPr>
    </w:lvl>
    <w:lvl w:ilvl="6" w:tplc="1E666EFA" w:tentative="1">
      <w:start w:val="1"/>
      <w:numFmt w:val="bullet"/>
      <w:lvlText w:val="-"/>
      <w:lvlJc w:val="left"/>
      <w:pPr>
        <w:tabs>
          <w:tab w:val="num" w:pos="4680"/>
        </w:tabs>
        <w:ind w:left="4680" w:hanging="360"/>
      </w:pPr>
      <w:rPr>
        <w:rFonts w:ascii="Times New Roman" w:hAnsi="Times New Roman" w:hint="default"/>
      </w:rPr>
    </w:lvl>
    <w:lvl w:ilvl="7" w:tplc="D91A4C0E" w:tentative="1">
      <w:start w:val="1"/>
      <w:numFmt w:val="bullet"/>
      <w:lvlText w:val="-"/>
      <w:lvlJc w:val="left"/>
      <w:pPr>
        <w:tabs>
          <w:tab w:val="num" w:pos="5400"/>
        </w:tabs>
        <w:ind w:left="5400" w:hanging="360"/>
      </w:pPr>
      <w:rPr>
        <w:rFonts w:ascii="Times New Roman" w:hAnsi="Times New Roman" w:hint="default"/>
      </w:rPr>
    </w:lvl>
    <w:lvl w:ilvl="8" w:tplc="4D22907A" w:tentative="1">
      <w:start w:val="1"/>
      <w:numFmt w:val="bullet"/>
      <w:lvlText w:val="-"/>
      <w:lvlJc w:val="left"/>
      <w:pPr>
        <w:tabs>
          <w:tab w:val="num" w:pos="6120"/>
        </w:tabs>
        <w:ind w:left="6120" w:hanging="360"/>
      </w:pPr>
      <w:rPr>
        <w:rFonts w:ascii="Times New Roman" w:hAnsi="Times New Roman" w:hint="default"/>
      </w:rPr>
    </w:lvl>
  </w:abstractNum>
  <w:abstractNum w:abstractNumId="25" w15:restartNumberingAfterBreak="0">
    <w:nsid w:val="49475E31"/>
    <w:multiLevelType w:val="hybridMultilevel"/>
    <w:tmpl w:val="D228F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C706B6"/>
    <w:multiLevelType w:val="hybridMultilevel"/>
    <w:tmpl w:val="36E2EFCC"/>
    <w:lvl w:ilvl="0" w:tplc="23607A60">
      <w:start w:val="1"/>
      <w:numFmt w:val="bullet"/>
      <w:lvlText w:val="-"/>
      <w:lvlJc w:val="left"/>
      <w:pPr>
        <w:tabs>
          <w:tab w:val="num" w:pos="360"/>
        </w:tabs>
        <w:ind w:left="360" w:hanging="360"/>
      </w:pPr>
      <w:rPr>
        <w:rFonts w:ascii="Times New Roman" w:hAnsi="Times New Roman" w:hint="default"/>
      </w:rPr>
    </w:lvl>
    <w:lvl w:ilvl="1" w:tplc="1DBC37B0" w:tentative="1">
      <w:start w:val="1"/>
      <w:numFmt w:val="bullet"/>
      <w:lvlText w:val="-"/>
      <w:lvlJc w:val="left"/>
      <w:pPr>
        <w:tabs>
          <w:tab w:val="num" w:pos="1080"/>
        </w:tabs>
        <w:ind w:left="1080" w:hanging="360"/>
      </w:pPr>
      <w:rPr>
        <w:rFonts w:ascii="Times New Roman" w:hAnsi="Times New Roman" w:hint="default"/>
      </w:rPr>
    </w:lvl>
    <w:lvl w:ilvl="2" w:tplc="A2B0C612" w:tentative="1">
      <w:start w:val="1"/>
      <w:numFmt w:val="bullet"/>
      <w:lvlText w:val="-"/>
      <w:lvlJc w:val="left"/>
      <w:pPr>
        <w:tabs>
          <w:tab w:val="num" w:pos="1800"/>
        </w:tabs>
        <w:ind w:left="1800" w:hanging="360"/>
      </w:pPr>
      <w:rPr>
        <w:rFonts w:ascii="Times New Roman" w:hAnsi="Times New Roman" w:hint="default"/>
      </w:rPr>
    </w:lvl>
    <w:lvl w:ilvl="3" w:tplc="4BF2D112" w:tentative="1">
      <w:start w:val="1"/>
      <w:numFmt w:val="bullet"/>
      <w:lvlText w:val="-"/>
      <w:lvlJc w:val="left"/>
      <w:pPr>
        <w:tabs>
          <w:tab w:val="num" w:pos="2520"/>
        </w:tabs>
        <w:ind w:left="2520" w:hanging="360"/>
      </w:pPr>
      <w:rPr>
        <w:rFonts w:ascii="Times New Roman" w:hAnsi="Times New Roman" w:hint="default"/>
      </w:rPr>
    </w:lvl>
    <w:lvl w:ilvl="4" w:tplc="18EC72F0" w:tentative="1">
      <w:start w:val="1"/>
      <w:numFmt w:val="bullet"/>
      <w:lvlText w:val="-"/>
      <w:lvlJc w:val="left"/>
      <w:pPr>
        <w:tabs>
          <w:tab w:val="num" w:pos="3240"/>
        </w:tabs>
        <w:ind w:left="3240" w:hanging="360"/>
      </w:pPr>
      <w:rPr>
        <w:rFonts w:ascii="Times New Roman" w:hAnsi="Times New Roman" w:hint="default"/>
      </w:rPr>
    </w:lvl>
    <w:lvl w:ilvl="5" w:tplc="D776517E" w:tentative="1">
      <w:start w:val="1"/>
      <w:numFmt w:val="bullet"/>
      <w:lvlText w:val="-"/>
      <w:lvlJc w:val="left"/>
      <w:pPr>
        <w:tabs>
          <w:tab w:val="num" w:pos="3960"/>
        </w:tabs>
        <w:ind w:left="3960" w:hanging="360"/>
      </w:pPr>
      <w:rPr>
        <w:rFonts w:ascii="Times New Roman" w:hAnsi="Times New Roman" w:hint="default"/>
      </w:rPr>
    </w:lvl>
    <w:lvl w:ilvl="6" w:tplc="B13E2250" w:tentative="1">
      <w:start w:val="1"/>
      <w:numFmt w:val="bullet"/>
      <w:lvlText w:val="-"/>
      <w:lvlJc w:val="left"/>
      <w:pPr>
        <w:tabs>
          <w:tab w:val="num" w:pos="4680"/>
        </w:tabs>
        <w:ind w:left="4680" w:hanging="360"/>
      </w:pPr>
      <w:rPr>
        <w:rFonts w:ascii="Times New Roman" w:hAnsi="Times New Roman" w:hint="default"/>
      </w:rPr>
    </w:lvl>
    <w:lvl w:ilvl="7" w:tplc="B5D8B806" w:tentative="1">
      <w:start w:val="1"/>
      <w:numFmt w:val="bullet"/>
      <w:lvlText w:val="-"/>
      <w:lvlJc w:val="left"/>
      <w:pPr>
        <w:tabs>
          <w:tab w:val="num" w:pos="5400"/>
        </w:tabs>
        <w:ind w:left="5400" w:hanging="360"/>
      </w:pPr>
      <w:rPr>
        <w:rFonts w:ascii="Times New Roman" w:hAnsi="Times New Roman" w:hint="default"/>
      </w:rPr>
    </w:lvl>
    <w:lvl w:ilvl="8" w:tplc="7220B1D6" w:tentative="1">
      <w:start w:val="1"/>
      <w:numFmt w:val="bullet"/>
      <w:lvlText w:val="-"/>
      <w:lvlJc w:val="left"/>
      <w:pPr>
        <w:tabs>
          <w:tab w:val="num" w:pos="6120"/>
        </w:tabs>
        <w:ind w:left="6120" w:hanging="360"/>
      </w:pPr>
      <w:rPr>
        <w:rFonts w:ascii="Times New Roman" w:hAnsi="Times New Roman" w:hint="default"/>
      </w:rPr>
    </w:lvl>
  </w:abstractNum>
  <w:abstractNum w:abstractNumId="27" w15:restartNumberingAfterBreak="0">
    <w:nsid w:val="4DE106A4"/>
    <w:multiLevelType w:val="hybridMultilevel"/>
    <w:tmpl w:val="CE72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E03DAF"/>
    <w:multiLevelType w:val="hybridMultilevel"/>
    <w:tmpl w:val="4A589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0B27292"/>
    <w:multiLevelType w:val="hybridMultilevel"/>
    <w:tmpl w:val="2E12D3CA"/>
    <w:lvl w:ilvl="0" w:tplc="AE36F896">
      <w:start w:val="1"/>
      <w:numFmt w:val="bullet"/>
      <w:lvlText w:val="-"/>
      <w:lvlJc w:val="left"/>
      <w:pPr>
        <w:tabs>
          <w:tab w:val="num" w:pos="360"/>
        </w:tabs>
        <w:ind w:left="360" w:hanging="360"/>
      </w:pPr>
      <w:rPr>
        <w:rFonts w:ascii="Times New Roman" w:hAnsi="Times New Roman" w:hint="default"/>
      </w:rPr>
    </w:lvl>
    <w:lvl w:ilvl="1" w:tplc="23524302" w:tentative="1">
      <w:start w:val="1"/>
      <w:numFmt w:val="bullet"/>
      <w:lvlText w:val="-"/>
      <w:lvlJc w:val="left"/>
      <w:pPr>
        <w:tabs>
          <w:tab w:val="num" w:pos="1080"/>
        </w:tabs>
        <w:ind w:left="1080" w:hanging="360"/>
      </w:pPr>
      <w:rPr>
        <w:rFonts w:ascii="Times New Roman" w:hAnsi="Times New Roman" w:hint="default"/>
      </w:rPr>
    </w:lvl>
    <w:lvl w:ilvl="2" w:tplc="11F43388" w:tentative="1">
      <w:start w:val="1"/>
      <w:numFmt w:val="bullet"/>
      <w:lvlText w:val="-"/>
      <w:lvlJc w:val="left"/>
      <w:pPr>
        <w:tabs>
          <w:tab w:val="num" w:pos="1800"/>
        </w:tabs>
        <w:ind w:left="1800" w:hanging="360"/>
      </w:pPr>
      <w:rPr>
        <w:rFonts w:ascii="Times New Roman" w:hAnsi="Times New Roman" w:hint="default"/>
      </w:rPr>
    </w:lvl>
    <w:lvl w:ilvl="3" w:tplc="583C6A3A" w:tentative="1">
      <w:start w:val="1"/>
      <w:numFmt w:val="bullet"/>
      <w:lvlText w:val="-"/>
      <w:lvlJc w:val="left"/>
      <w:pPr>
        <w:tabs>
          <w:tab w:val="num" w:pos="2520"/>
        </w:tabs>
        <w:ind w:left="2520" w:hanging="360"/>
      </w:pPr>
      <w:rPr>
        <w:rFonts w:ascii="Times New Roman" w:hAnsi="Times New Roman" w:hint="default"/>
      </w:rPr>
    </w:lvl>
    <w:lvl w:ilvl="4" w:tplc="9F5AE174" w:tentative="1">
      <w:start w:val="1"/>
      <w:numFmt w:val="bullet"/>
      <w:lvlText w:val="-"/>
      <w:lvlJc w:val="left"/>
      <w:pPr>
        <w:tabs>
          <w:tab w:val="num" w:pos="3240"/>
        </w:tabs>
        <w:ind w:left="3240" w:hanging="360"/>
      </w:pPr>
      <w:rPr>
        <w:rFonts w:ascii="Times New Roman" w:hAnsi="Times New Roman" w:hint="default"/>
      </w:rPr>
    </w:lvl>
    <w:lvl w:ilvl="5" w:tplc="A4E8F658" w:tentative="1">
      <w:start w:val="1"/>
      <w:numFmt w:val="bullet"/>
      <w:lvlText w:val="-"/>
      <w:lvlJc w:val="left"/>
      <w:pPr>
        <w:tabs>
          <w:tab w:val="num" w:pos="3960"/>
        </w:tabs>
        <w:ind w:left="3960" w:hanging="360"/>
      </w:pPr>
      <w:rPr>
        <w:rFonts w:ascii="Times New Roman" w:hAnsi="Times New Roman" w:hint="default"/>
      </w:rPr>
    </w:lvl>
    <w:lvl w:ilvl="6" w:tplc="44909D4C" w:tentative="1">
      <w:start w:val="1"/>
      <w:numFmt w:val="bullet"/>
      <w:lvlText w:val="-"/>
      <w:lvlJc w:val="left"/>
      <w:pPr>
        <w:tabs>
          <w:tab w:val="num" w:pos="4680"/>
        </w:tabs>
        <w:ind w:left="4680" w:hanging="360"/>
      </w:pPr>
      <w:rPr>
        <w:rFonts w:ascii="Times New Roman" w:hAnsi="Times New Roman" w:hint="default"/>
      </w:rPr>
    </w:lvl>
    <w:lvl w:ilvl="7" w:tplc="1D5A8816" w:tentative="1">
      <w:start w:val="1"/>
      <w:numFmt w:val="bullet"/>
      <w:lvlText w:val="-"/>
      <w:lvlJc w:val="left"/>
      <w:pPr>
        <w:tabs>
          <w:tab w:val="num" w:pos="5400"/>
        </w:tabs>
        <w:ind w:left="5400" w:hanging="360"/>
      </w:pPr>
      <w:rPr>
        <w:rFonts w:ascii="Times New Roman" w:hAnsi="Times New Roman" w:hint="default"/>
      </w:rPr>
    </w:lvl>
    <w:lvl w:ilvl="8" w:tplc="2B164BCA" w:tentative="1">
      <w:start w:val="1"/>
      <w:numFmt w:val="bullet"/>
      <w:lvlText w:val="-"/>
      <w:lvlJc w:val="left"/>
      <w:pPr>
        <w:tabs>
          <w:tab w:val="num" w:pos="6120"/>
        </w:tabs>
        <w:ind w:left="6120" w:hanging="360"/>
      </w:pPr>
      <w:rPr>
        <w:rFonts w:ascii="Times New Roman" w:hAnsi="Times New Roman" w:hint="default"/>
      </w:rPr>
    </w:lvl>
  </w:abstractNum>
  <w:abstractNum w:abstractNumId="30" w15:restartNumberingAfterBreak="0">
    <w:nsid w:val="53EA0EF7"/>
    <w:multiLevelType w:val="hybridMultilevel"/>
    <w:tmpl w:val="7340E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CD7CEA"/>
    <w:multiLevelType w:val="hybridMultilevel"/>
    <w:tmpl w:val="60284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A44863"/>
    <w:multiLevelType w:val="hybridMultilevel"/>
    <w:tmpl w:val="9D5C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67337C"/>
    <w:multiLevelType w:val="hybridMultilevel"/>
    <w:tmpl w:val="21A07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3E6D47"/>
    <w:multiLevelType w:val="hybridMultilevel"/>
    <w:tmpl w:val="19BA6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B9F1DCB"/>
    <w:multiLevelType w:val="hybridMultilevel"/>
    <w:tmpl w:val="48DA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C5376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0A03843"/>
    <w:multiLevelType w:val="hybridMultilevel"/>
    <w:tmpl w:val="3CBE91DE"/>
    <w:lvl w:ilvl="0" w:tplc="8B829C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3926DF"/>
    <w:multiLevelType w:val="hybridMultilevel"/>
    <w:tmpl w:val="CEC4EF88"/>
    <w:lvl w:ilvl="0" w:tplc="B67C6A40">
      <w:start w:val="1"/>
      <w:numFmt w:val="bullet"/>
      <w:lvlText w:val="-"/>
      <w:lvlJc w:val="left"/>
      <w:pPr>
        <w:tabs>
          <w:tab w:val="num" w:pos="360"/>
        </w:tabs>
        <w:ind w:left="360" w:hanging="360"/>
      </w:pPr>
      <w:rPr>
        <w:rFonts w:ascii="Times New Roman" w:hAnsi="Times New Roman" w:hint="default"/>
      </w:rPr>
    </w:lvl>
    <w:lvl w:ilvl="1" w:tplc="B17A31AC" w:tentative="1">
      <w:start w:val="1"/>
      <w:numFmt w:val="bullet"/>
      <w:lvlText w:val="-"/>
      <w:lvlJc w:val="left"/>
      <w:pPr>
        <w:tabs>
          <w:tab w:val="num" w:pos="1080"/>
        </w:tabs>
        <w:ind w:left="1080" w:hanging="360"/>
      </w:pPr>
      <w:rPr>
        <w:rFonts w:ascii="Times New Roman" w:hAnsi="Times New Roman" w:hint="default"/>
      </w:rPr>
    </w:lvl>
    <w:lvl w:ilvl="2" w:tplc="EB1083B2" w:tentative="1">
      <w:start w:val="1"/>
      <w:numFmt w:val="bullet"/>
      <w:lvlText w:val="-"/>
      <w:lvlJc w:val="left"/>
      <w:pPr>
        <w:tabs>
          <w:tab w:val="num" w:pos="1800"/>
        </w:tabs>
        <w:ind w:left="1800" w:hanging="360"/>
      </w:pPr>
      <w:rPr>
        <w:rFonts w:ascii="Times New Roman" w:hAnsi="Times New Roman" w:hint="default"/>
      </w:rPr>
    </w:lvl>
    <w:lvl w:ilvl="3" w:tplc="C8145A10" w:tentative="1">
      <w:start w:val="1"/>
      <w:numFmt w:val="bullet"/>
      <w:lvlText w:val="-"/>
      <w:lvlJc w:val="left"/>
      <w:pPr>
        <w:tabs>
          <w:tab w:val="num" w:pos="2520"/>
        </w:tabs>
        <w:ind w:left="2520" w:hanging="360"/>
      </w:pPr>
      <w:rPr>
        <w:rFonts w:ascii="Times New Roman" w:hAnsi="Times New Roman" w:hint="default"/>
      </w:rPr>
    </w:lvl>
    <w:lvl w:ilvl="4" w:tplc="6EF40082" w:tentative="1">
      <w:start w:val="1"/>
      <w:numFmt w:val="bullet"/>
      <w:lvlText w:val="-"/>
      <w:lvlJc w:val="left"/>
      <w:pPr>
        <w:tabs>
          <w:tab w:val="num" w:pos="3240"/>
        </w:tabs>
        <w:ind w:left="3240" w:hanging="360"/>
      </w:pPr>
      <w:rPr>
        <w:rFonts w:ascii="Times New Roman" w:hAnsi="Times New Roman" w:hint="default"/>
      </w:rPr>
    </w:lvl>
    <w:lvl w:ilvl="5" w:tplc="DFAC7F14" w:tentative="1">
      <w:start w:val="1"/>
      <w:numFmt w:val="bullet"/>
      <w:lvlText w:val="-"/>
      <w:lvlJc w:val="left"/>
      <w:pPr>
        <w:tabs>
          <w:tab w:val="num" w:pos="3960"/>
        </w:tabs>
        <w:ind w:left="3960" w:hanging="360"/>
      </w:pPr>
      <w:rPr>
        <w:rFonts w:ascii="Times New Roman" w:hAnsi="Times New Roman" w:hint="default"/>
      </w:rPr>
    </w:lvl>
    <w:lvl w:ilvl="6" w:tplc="8982D028" w:tentative="1">
      <w:start w:val="1"/>
      <w:numFmt w:val="bullet"/>
      <w:lvlText w:val="-"/>
      <w:lvlJc w:val="left"/>
      <w:pPr>
        <w:tabs>
          <w:tab w:val="num" w:pos="4680"/>
        </w:tabs>
        <w:ind w:left="4680" w:hanging="360"/>
      </w:pPr>
      <w:rPr>
        <w:rFonts w:ascii="Times New Roman" w:hAnsi="Times New Roman" w:hint="default"/>
      </w:rPr>
    </w:lvl>
    <w:lvl w:ilvl="7" w:tplc="2AC8A622" w:tentative="1">
      <w:start w:val="1"/>
      <w:numFmt w:val="bullet"/>
      <w:lvlText w:val="-"/>
      <w:lvlJc w:val="left"/>
      <w:pPr>
        <w:tabs>
          <w:tab w:val="num" w:pos="5400"/>
        </w:tabs>
        <w:ind w:left="5400" w:hanging="360"/>
      </w:pPr>
      <w:rPr>
        <w:rFonts w:ascii="Times New Roman" w:hAnsi="Times New Roman" w:hint="default"/>
      </w:rPr>
    </w:lvl>
    <w:lvl w:ilvl="8" w:tplc="EAF439A8" w:tentative="1">
      <w:start w:val="1"/>
      <w:numFmt w:val="bullet"/>
      <w:lvlText w:val="-"/>
      <w:lvlJc w:val="left"/>
      <w:pPr>
        <w:tabs>
          <w:tab w:val="num" w:pos="6120"/>
        </w:tabs>
        <w:ind w:left="6120" w:hanging="360"/>
      </w:pPr>
      <w:rPr>
        <w:rFonts w:ascii="Times New Roman" w:hAnsi="Times New Roman" w:hint="default"/>
      </w:rPr>
    </w:lvl>
  </w:abstractNum>
  <w:abstractNum w:abstractNumId="39" w15:restartNumberingAfterBreak="0">
    <w:nsid w:val="65F65331"/>
    <w:multiLevelType w:val="hybridMultilevel"/>
    <w:tmpl w:val="AE1E597A"/>
    <w:lvl w:ilvl="0" w:tplc="20ACD24E">
      <w:start w:val="1"/>
      <w:numFmt w:val="bullet"/>
      <w:lvlText w:val="-"/>
      <w:lvlJc w:val="left"/>
      <w:pPr>
        <w:tabs>
          <w:tab w:val="num" w:pos="360"/>
        </w:tabs>
        <w:ind w:left="360" w:hanging="360"/>
      </w:pPr>
      <w:rPr>
        <w:rFonts w:ascii="Times New Roman" w:hAnsi="Times New Roman" w:hint="default"/>
      </w:rPr>
    </w:lvl>
    <w:lvl w:ilvl="1" w:tplc="7E2004D2" w:tentative="1">
      <w:start w:val="1"/>
      <w:numFmt w:val="bullet"/>
      <w:lvlText w:val="-"/>
      <w:lvlJc w:val="left"/>
      <w:pPr>
        <w:tabs>
          <w:tab w:val="num" w:pos="1080"/>
        </w:tabs>
        <w:ind w:left="1080" w:hanging="360"/>
      </w:pPr>
      <w:rPr>
        <w:rFonts w:ascii="Times New Roman" w:hAnsi="Times New Roman" w:hint="default"/>
      </w:rPr>
    </w:lvl>
    <w:lvl w:ilvl="2" w:tplc="6A944BF0" w:tentative="1">
      <w:start w:val="1"/>
      <w:numFmt w:val="bullet"/>
      <w:lvlText w:val="-"/>
      <w:lvlJc w:val="left"/>
      <w:pPr>
        <w:tabs>
          <w:tab w:val="num" w:pos="1800"/>
        </w:tabs>
        <w:ind w:left="1800" w:hanging="360"/>
      </w:pPr>
      <w:rPr>
        <w:rFonts w:ascii="Times New Roman" w:hAnsi="Times New Roman" w:hint="default"/>
      </w:rPr>
    </w:lvl>
    <w:lvl w:ilvl="3" w:tplc="AF061E56" w:tentative="1">
      <w:start w:val="1"/>
      <w:numFmt w:val="bullet"/>
      <w:lvlText w:val="-"/>
      <w:lvlJc w:val="left"/>
      <w:pPr>
        <w:tabs>
          <w:tab w:val="num" w:pos="2520"/>
        </w:tabs>
        <w:ind w:left="2520" w:hanging="360"/>
      </w:pPr>
      <w:rPr>
        <w:rFonts w:ascii="Times New Roman" w:hAnsi="Times New Roman" w:hint="default"/>
      </w:rPr>
    </w:lvl>
    <w:lvl w:ilvl="4" w:tplc="3BC42924" w:tentative="1">
      <w:start w:val="1"/>
      <w:numFmt w:val="bullet"/>
      <w:lvlText w:val="-"/>
      <w:lvlJc w:val="left"/>
      <w:pPr>
        <w:tabs>
          <w:tab w:val="num" w:pos="3240"/>
        </w:tabs>
        <w:ind w:left="3240" w:hanging="360"/>
      </w:pPr>
      <w:rPr>
        <w:rFonts w:ascii="Times New Roman" w:hAnsi="Times New Roman" w:hint="default"/>
      </w:rPr>
    </w:lvl>
    <w:lvl w:ilvl="5" w:tplc="BE6CC326" w:tentative="1">
      <w:start w:val="1"/>
      <w:numFmt w:val="bullet"/>
      <w:lvlText w:val="-"/>
      <w:lvlJc w:val="left"/>
      <w:pPr>
        <w:tabs>
          <w:tab w:val="num" w:pos="3960"/>
        </w:tabs>
        <w:ind w:left="3960" w:hanging="360"/>
      </w:pPr>
      <w:rPr>
        <w:rFonts w:ascii="Times New Roman" w:hAnsi="Times New Roman" w:hint="default"/>
      </w:rPr>
    </w:lvl>
    <w:lvl w:ilvl="6" w:tplc="1F64C286" w:tentative="1">
      <w:start w:val="1"/>
      <w:numFmt w:val="bullet"/>
      <w:lvlText w:val="-"/>
      <w:lvlJc w:val="left"/>
      <w:pPr>
        <w:tabs>
          <w:tab w:val="num" w:pos="4680"/>
        </w:tabs>
        <w:ind w:left="4680" w:hanging="360"/>
      </w:pPr>
      <w:rPr>
        <w:rFonts w:ascii="Times New Roman" w:hAnsi="Times New Roman" w:hint="default"/>
      </w:rPr>
    </w:lvl>
    <w:lvl w:ilvl="7" w:tplc="21B6BE4C" w:tentative="1">
      <w:start w:val="1"/>
      <w:numFmt w:val="bullet"/>
      <w:lvlText w:val="-"/>
      <w:lvlJc w:val="left"/>
      <w:pPr>
        <w:tabs>
          <w:tab w:val="num" w:pos="5400"/>
        </w:tabs>
        <w:ind w:left="5400" w:hanging="360"/>
      </w:pPr>
      <w:rPr>
        <w:rFonts w:ascii="Times New Roman" w:hAnsi="Times New Roman" w:hint="default"/>
      </w:rPr>
    </w:lvl>
    <w:lvl w:ilvl="8" w:tplc="10746E14" w:tentative="1">
      <w:start w:val="1"/>
      <w:numFmt w:val="bullet"/>
      <w:lvlText w:val="-"/>
      <w:lvlJc w:val="left"/>
      <w:pPr>
        <w:tabs>
          <w:tab w:val="num" w:pos="6120"/>
        </w:tabs>
        <w:ind w:left="6120" w:hanging="360"/>
      </w:pPr>
      <w:rPr>
        <w:rFonts w:ascii="Times New Roman" w:hAnsi="Times New Roman" w:hint="default"/>
      </w:rPr>
    </w:lvl>
  </w:abstractNum>
  <w:abstractNum w:abstractNumId="40" w15:restartNumberingAfterBreak="0">
    <w:nsid w:val="69650EA0"/>
    <w:multiLevelType w:val="hybridMultilevel"/>
    <w:tmpl w:val="6C962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C19502B"/>
    <w:multiLevelType w:val="hybridMultilevel"/>
    <w:tmpl w:val="A8EE47BA"/>
    <w:lvl w:ilvl="0" w:tplc="206C150C">
      <w:start w:val="1"/>
      <w:numFmt w:val="bullet"/>
      <w:lvlText w:val="-"/>
      <w:lvlJc w:val="left"/>
      <w:pPr>
        <w:tabs>
          <w:tab w:val="num" w:pos="360"/>
        </w:tabs>
        <w:ind w:left="360" w:hanging="360"/>
      </w:pPr>
      <w:rPr>
        <w:rFonts w:ascii="Times New Roman" w:hAnsi="Times New Roman" w:hint="default"/>
      </w:rPr>
    </w:lvl>
    <w:lvl w:ilvl="1" w:tplc="D45ECFAC" w:tentative="1">
      <w:start w:val="1"/>
      <w:numFmt w:val="bullet"/>
      <w:lvlText w:val="-"/>
      <w:lvlJc w:val="left"/>
      <w:pPr>
        <w:tabs>
          <w:tab w:val="num" w:pos="1080"/>
        </w:tabs>
        <w:ind w:left="1080" w:hanging="360"/>
      </w:pPr>
      <w:rPr>
        <w:rFonts w:ascii="Times New Roman" w:hAnsi="Times New Roman" w:hint="default"/>
      </w:rPr>
    </w:lvl>
    <w:lvl w:ilvl="2" w:tplc="90AEFE92" w:tentative="1">
      <w:start w:val="1"/>
      <w:numFmt w:val="bullet"/>
      <w:lvlText w:val="-"/>
      <w:lvlJc w:val="left"/>
      <w:pPr>
        <w:tabs>
          <w:tab w:val="num" w:pos="1800"/>
        </w:tabs>
        <w:ind w:left="1800" w:hanging="360"/>
      </w:pPr>
      <w:rPr>
        <w:rFonts w:ascii="Times New Roman" w:hAnsi="Times New Roman" w:hint="default"/>
      </w:rPr>
    </w:lvl>
    <w:lvl w:ilvl="3" w:tplc="DCE038E4" w:tentative="1">
      <w:start w:val="1"/>
      <w:numFmt w:val="bullet"/>
      <w:lvlText w:val="-"/>
      <w:lvlJc w:val="left"/>
      <w:pPr>
        <w:tabs>
          <w:tab w:val="num" w:pos="2520"/>
        </w:tabs>
        <w:ind w:left="2520" w:hanging="360"/>
      </w:pPr>
      <w:rPr>
        <w:rFonts w:ascii="Times New Roman" w:hAnsi="Times New Roman" w:hint="default"/>
      </w:rPr>
    </w:lvl>
    <w:lvl w:ilvl="4" w:tplc="D2E41AB6" w:tentative="1">
      <w:start w:val="1"/>
      <w:numFmt w:val="bullet"/>
      <w:lvlText w:val="-"/>
      <w:lvlJc w:val="left"/>
      <w:pPr>
        <w:tabs>
          <w:tab w:val="num" w:pos="3240"/>
        </w:tabs>
        <w:ind w:left="3240" w:hanging="360"/>
      </w:pPr>
      <w:rPr>
        <w:rFonts w:ascii="Times New Roman" w:hAnsi="Times New Roman" w:hint="default"/>
      </w:rPr>
    </w:lvl>
    <w:lvl w:ilvl="5" w:tplc="0A48E0D2" w:tentative="1">
      <w:start w:val="1"/>
      <w:numFmt w:val="bullet"/>
      <w:lvlText w:val="-"/>
      <w:lvlJc w:val="left"/>
      <w:pPr>
        <w:tabs>
          <w:tab w:val="num" w:pos="3960"/>
        </w:tabs>
        <w:ind w:left="3960" w:hanging="360"/>
      </w:pPr>
      <w:rPr>
        <w:rFonts w:ascii="Times New Roman" w:hAnsi="Times New Roman" w:hint="default"/>
      </w:rPr>
    </w:lvl>
    <w:lvl w:ilvl="6" w:tplc="55C24558" w:tentative="1">
      <w:start w:val="1"/>
      <w:numFmt w:val="bullet"/>
      <w:lvlText w:val="-"/>
      <w:lvlJc w:val="left"/>
      <w:pPr>
        <w:tabs>
          <w:tab w:val="num" w:pos="4680"/>
        </w:tabs>
        <w:ind w:left="4680" w:hanging="360"/>
      </w:pPr>
      <w:rPr>
        <w:rFonts w:ascii="Times New Roman" w:hAnsi="Times New Roman" w:hint="default"/>
      </w:rPr>
    </w:lvl>
    <w:lvl w:ilvl="7" w:tplc="8BE2C974" w:tentative="1">
      <w:start w:val="1"/>
      <w:numFmt w:val="bullet"/>
      <w:lvlText w:val="-"/>
      <w:lvlJc w:val="left"/>
      <w:pPr>
        <w:tabs>
          <w:tab w:val="num" w:pos="5400"/>
        </w:tabs>
        <w:ind w:left="5400" w:hanging="360"/>
      </w:pPr>
      <w:rPr>
        <w:rFonts w:ascii="Times New Roman" w:hAnsi="Times New Roman" w:hint="default"/>
      </w:rPr>
    </w:lvl>
    <w:lvl w:ilvl="8" w:tplc="20E0A7EE" w:tentative="1">
      <w:start w:val="1"/>
      <w:numFmt w:val="bullet"/>
      <w:lvlText w:val="-"/>
      <w:lvlJc w:val="left"/>
      <w:pPr>
        <w:tabs>
          <w:tab w:val="num" w:pos="6120"/>
        </w:tabs>
        <w:ind w:left="6120" w:hanging="360"/>
      </w:pPr>
      <w:rPr>
        <w:rFonts w:ascii="Times New Roman" w:hAnsi="Times New Roman" w:hint="default"/>
      </w:rPr>
    </w:lvl>
  </w:abstractNum>
  <w:abstractNum w:abstractNumId="42" w15:restartNumberingAfterBreak="0">
    <w:nsid w:val="6F684AA0"/>
    <w:multiLevelType w:val="hybridMultilevel"/>
    <w:tmpl w:val="639A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963B5A"/>
    <w:multiLevelType w:val="hybridMultilevel"/>
    <w:tmpl w:val="6AA0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80091A"/>
    <w:multiLevelType w:val="hybridMultilevel"/>
    <w:tmpl w:val="DCE28220"/>
    <w:lvl w:ilvl="0" w:tplc="A002FD60">
      <w:start w:val="1"/>
      <w:numFmt w:val="bullet"/>
      <w:lvlText w:val="-"/>
      <w:lvlJc w:val="left"/>
      <w:pPr>
        <w:tabs>
          <w:tab w:val="num" w:pos="360"/>
        </w:tabs>
        <w:ind w:left="360" w:hanging="360"/>
      </w:pPr>
      <w:rPr>
        <w:rFonts w:ascii="Times New Roman" w:hAnsi="Times New Roman" w:hint="default"/>
      </w:rPr>
    </w:lvl>
    <w:lvl w:ilvl="1" w:tplc="0466F48C" w:tentative="1">
      <w:start w:val="1"/>
      <w:numFmt w:val="bullet"/>
      <w:lvlText w:val="-"/>
      <w:lvlJc w:val="left"/>
      <w:pPr>
        <w:tabs>
          <w:tab w:val="num" w:pos="1080"/>
        </w:tabs>
        <w:ind w:left="1080" w:hanging="360"/>
      </w:pPr>
      <w:rPr>
        <w:rFonts w:ascii="Times New Roman" w:hAnsi="Times New Roman" w:hint="default"/>
      </w:rPr>
    </w:lvl>
    <w:lvl w:ilvl="2" w:tplc="4D180F6A" w:tentative="1">
      <w:start w:val="1"/>
      <w:numFmt w:val="bullet"/>
      <w:lvlText w:val="-"/>
      <w:lvlJc w:val="left"/>
      <w:pPr>
        <w:tabs>
          <w:tab w:val="num" w:pos="1800"/>
        </w:tabs>
        <w:ind w:left="1800" w:hanging="360"/>
      </w:pPr>
      <w:rPr>
        <w:rFonts w:ascii="Times New Roman" w:hAnsi="Times New Roman" w:hint="default"/>
      </w:rPr>
    </w:lvl>
    <w:lvl w:ilvl="3" w:tplc="A57E7CAC" w:tentative="1">
      <w:start w:val="1"/>
      <w:numFmt w:val="bullet"/>
      <w:lvlText w:val="-"/>
      <w:lvlJc w:val="left"/>
      <w:pPr>
        <w:tabs>
          <w:tab w:val="num" w:pos="2520"/>
        </w:tabs>
        <w:ind w:left="2520" w:hanging="360"/>
      </w:pPr>
      <w:rPr>
        <w:rFonts w:ascii="Times New Roman" w:hAnsi="Times New Roman" w:hint="default"/>
      </w:rPr>
    </w:lvl>
    <w:lvl w:ilvl="4" w:tplc="4E6E3540" w:tentative="1">
      <w:start w:val="1"/>
      <w:numFmt w:val="bullet"/>
      <w:lvlText w:val="-"/>
      <w:lvlJc w:val="left"/>
      <w:pPr>
        <w:tabs>
          <w:tab w:val="num" w:pos="3240"/>
        </w:tabs>
        <w:ind w:left="3240" w:hanging="360"/>
      </w:pPr>
      <w:rPr>
        <w:rFonts w:ascii="Times New Roman" w:hAnsi="Times New Roman" w:hint="default"/>
      </w:rPr>
    </w:lvl>
    <w:lvl w:ilvl="5" w:tplc="60AE57A4" w:tentative="1">
      <w:start w:val="1"/>
      <w:numFmt w:val="bullet"/>
      <w:lvlText w:val="-"/>
      <w:lvlJc w:val="left"/>
      <w:pPr>
        <w:tabs>
          <w:tab w:val="num" w:pos="3960"/>
        </w:tabs>
        <w:ind w:left="3960" w:hanging="360"/>
      </w:pPr>
      <w:rPr>
        <w:rFonts w:ascii="Times New Roman" w:hAnsi="Times New Roman" w:hint="default"/>
      </w:rPr>
    </w:lvl>
    <w:lvl w:ilvl="6" w:tplc="971462FA" w:tentative="1">
      <w:start w:val="1"/>
      <w:numFmt w:val="bullet"/>
      <w:lvlText w:val="-"/>
      <w:lvlJc w:val="left"/>
      <w:pPr>
        <w:tabs>
          <w:tab w:val="num" w:pos="4680"/>
        </w:tabs>
        <w:ind w:left="4680" w:hanging="360"/>
      </w:pPr>
      <w:rPr>
        <w:rFonts w:ascii="Times New Roman" w:hAnsi="Times New Roman" w:hint="default"/>
      </w:rPr>
    </w:lvl>
    <w:lvl w:ilvl="7" w:tplc="7F347DEC" w:tentative="1">
      <w:start w:val="1"/>
      <w:numFmt w:val="bullet"/>
      <w:lvlText w:val="-"/>
      <w:lvlJc w:val="left"/>
      <w:pPr>
        <w:tabs>
          <w:tab w:val="num" w:pos="5400"/>
        </w:tabs>
        <w:ind w:left="5400" w:hanging="360"/>
      </w:pPr>
      <w:rPr>
        <w:rFonts w:ascii="Times New Roman" w:hAnsi="Times New Roman" w:hint="default"/>
      </w:rPr>
    </w:lvl>
    <w:lvl w:ilvl="8" w:tplc="2E48F50A" w:tentative="1">
      <w:start w:val="1"/>
      <w:numFmt w:val="bullet"/>
      <w:lvlText w:val="-"/>
      <w:lvlJc w:val="left"/>
      <w:pPr>
        <w:tabs>
          <w:tab w:val="num" w:pos="6120"/>
        </w:tabs>
        <w:ind w:left="6120" w:hanging="360"/>
      </w:pPr>
      <w:rPr>
        <w:rFonts w:ascii="Times New Roman" w:hAnsi="Times New Roman" w:hint="default"/>
      </w:rPr>
    </w:lvl>
  </w:abstractNum>
  <w:abstractNum w:abstractNumId="45" w15:restartNumberingAfterBreak="0">
    <w:nsid w:val="78AE7494"/>
    <w:multiLevelType w:val="hybridMultilevel"/>
    <w:tmpl w:val="2CCCD6B4"/>
    <w:lvl w:ilvl="0" w:tplc="5ECC1EC6">
      <w:start w:val="1"/>
      <w:numFmt w:val="bullet"/>
      <w:lvlText w:val="-"/>
      <w:lvlJc w:val="left"/>
      <w:pPr>
        <w:tabs>
          <w:tab w:val="num" w:pos="360"/>
        </w:tabs>
        <w:ind w:left="360" w:hanging="360"/>
      </w:pPr>
      <w:rPr>
        <w:rFonts w:ascii="Times New Roman" w:hAnsi="Times New Roman" w:hint="default"/>
      </w:rPr>
    </w:lvl>
    <w:lvl w:ilvl="1" w:tplc="1780E8E4" w:tentative="1">
      <w:start w:val="1"/>
      <w:numFmt w:val="bullet"/>
      <w:lvlText w:val="-"/>
      <w:lvlJc w:val="left"/>
      <w:pPr>
        <w:tabs>
          <w:tab w:val="num" w:pos="1080"/>
        </w:tabs>
        <w:ind w:left="1080" w:hanging="360"/>
      </w:pPr>
      <w:rPr>
        <w:rFonts w:ascii="Times New Roman" w:hAnsi="Times New Roman" w:hint="default"/>
      </w:rPr>
    </w:lvl>
    <w:lvl w:ilvl="2" w:tplc="F476EB0A" w:tentative="1">
      <w:start w:val="1"/>
      <w:numFmt w:val="bullet"/>
      <w:lvlText w:val="-"/>
      <w:lvlJc w:val="left"/>
      <w:pPr>
        <w:tabs>
          <w:tab w:val="num" w:pos="1800"/>
        </w:tabs>
        <w:ind w:left="1800" w:hanging="360"/>
      </w:pPr>
      <w:rPr>
        <w:rFonts w:ascii="Times New Roman" w:hAnsi="Times New Roman" w:hint="default"/>
      </w:rPr>
    </w:lvl>
    <w:lvl w:ilvl="3" w:tplc="7CFC46C2" w:tentative="1">
      <w:start w:val="1"/>
      <w:numFmt w:val="bullet"/>
      <w:lvlText w:val="-"/>
      <w:lvlJc w:val="left"/>
      <w:pPr>
        <w:tabs>
          <w:tab w:val="num" w:pos="2520"/>
        </w:tabs>
        <w:ind w:left="2520" w:hanging="360"/>
      </w:pPr>
      <w:rPr>
        <w:rFonts w:ascii="Times New Roman" w:hAnsi="Times New Roman" w:hint="default"/>
      </w:rPr>
    </w:lvl>
    <w:lvl w:ilvl="4" w:tplc="00C26EDE" w:tentative="1">
      <w:start w:val="1"/>
      <w:numFmt w:val="bullet"/>
      <w:lvlText w:val="-"/>
      <w:lvlJc w:val="left"/>
      <w:pPr>
        <w:tabs>
          <w:tab w:val="num" w:pos="3240"/>
        </w:tabs>
        <w:ind w:left="3240" w:hanging="360"/>
      </w:pPr>
      <w:rPr>
        <w:rFonts w:ascii="Times New Roman" w:hAnsi="Times New Roman" w:hint="default"/>
      </w:rPr>
    </w:lvl>
    <w:lvl w:ilvl="5" w:tplc="C15ED832" w:tentative="1">
      <w:start w:val="1"/>
      <w:numFmt w:val="bullet"/>
      <w:lvlText w:val="-"/>
      <w:lvlJc w:val="left"/>
      <w:pPr>
        <w:tabs>
          <w:tab w:val="num" w:pos="3960"/>
        </w:tabs>
        <w:ind w:left="3960" w:hanging="360"/>
      </w:pPr>
      <w:rPr>
        <w:rFonts w:ascii="Times New Roman" w:hAnsi="Times New Roman" w:hint="default"/>
      </w:rPr>
    </w:lvl>
    <w:lvl w:ilvl="6" w:tplc="792E37F2" w:tentative="1">
      <w:start w:val="1"/>
      <w:numFmt w:val="bullet"/>
      <w:lvlText w:val="-"/>
      <w:lvlJc w:val="left"/>
      <w:pPr>
        <w:tabs>
          <w:tab w:val="num" w:pos="4680"/>
        </w:tabs>
        <w:ind w:left="4680" w:hanging="360"/>
      </w:pPr>
      <w:rPr>
        <w:rFonts w:ascii="Times New Roman" w:hAnsi="Times New Roman" w:hint="default"/>
      </w:rPr>
    </w:lvl>
    <w:lvl w:ilvl="7" w:tplc="949831AC" w:tentative="1">
      <w:start w:val="1"/>
      <w:numFmt w:val="bullet"/>
      <w:lvlText w:val="-"/>
      <w:lvlJc w:val="left"/>
      <w:pPr>
        <w:tabs>
          <w:tab w:val="num" w:pos="5400"/>
        </w:tabs>
        <w:ind w:left="5400" w:hanging="360"/>
      </w:pPr>
      <w:rPr>
        <w:rFonts w:ascii="Times New Roman" w:hAnsi="Times New Roman" w:hint="default"/>
      </w:rPr>
    </w:lvl>
    <w:lvl w:ilvl="8" w:tplc="DBCA7702" w:tentative="1">
      <w:start w:val="1"/>
      <w:numFmt w:val="bullet"/>
      <w:lvlText w:val="-"/>
      <w:lvlJc w:val="left"/>
      <w:pPr>
        <w:tabs>
          <w:tab w:val="num" w:pos="6120"/>
        </w:tabs>
        <w:ind w:left="6120" w:hanging="360"/>
      </w:pPr>
      <w:rPr>
        <w:rFonts w:ascii="Times New Roman" w:hAnsi="Times New Roman" w:hint="default"/>
      </w:rPr>
    </w:lvl>
  </w:abstractNum>
  <w:num w:numId="1">
    <w:abstractNumId w:val="42"/>
  </w:num>
  <w:num w:numId="2">
    <w:abstractNumId w:val="15"/>
  </w:num>
  <w:num w:numId="3">
    <w:abstractNumId w:val="20"/>
  </w:num>
  <w:num w:numId="4">
    <w:abstractNumId w:val="9"/>
  </w:num>
  <w:num w:numId="5">
    <w:abstractNumId w:val="26"/>
  </w:num>
  <w:num w:numId="6">
    <w:abstractNumId w:val="39"/>
  </w:num>
  <w:num w:numId="7">
    <w:abstractNumId w:val="24"/>
  </w:num>
  <w:num w:numId="8">
    <w:abstractNumId w:val="45"/>
  </w:num>
  <w:num w:numId="9">
    <w:abstractNumId w:val="12"/>
  </w:num>
  <w:num w:numId="10">
    <w:abstractNumId w:val="28"/>
  </w:num>
  <w:num w:numId="11">
    <w:abstractNumId w:val="31"/>
  </w:num>
  <w:num w:numId="12">
    <w:abstractNumId w:val="25"/>
  </w:num>
  <w:num w:numId="13">
    <w:abstractNumId w:val="23"/>
  </w:num>
  <w:num w:numId="14">
    <w:abstractNumId w:val="21"/>
  </w:num>
  <w:num w:numId="15">
    <w:abstractNumId w:val="17"/>
  </w:num>
  <w:num w:numId="16">
    <w:abstractNumId w:val="40"/>
  </w:num>
  <w:num w:numId="17">
    <w:abstractNumId w:val="10"/>
  </w:num>
  <w:num w:numId="18">
    <w:abstractNumId w:val="4"/>
  </w:num>
  <w:num w:numId="19">
    <w:abstractNumId w:val="37"/>
  </w:num>
  <w:num w:numId="20">
    <w:abstractNumId w:val="1"/>
  </w:num>
  <w:num w:numId="21">
    <w:abstractNumId w:val="36"/>
  </w:num>
  <w:num w:numId="22">
    <w:abstractNumId w:val="33"/>
  </w:num>
  <w:num w:numId="23">
    <w:abstractNumId w:val="16"/>
  </w:num>
  <w:num w:numId="24">
    <w:abstractNumId w:val="3"/>
  </w:num>
  <w:num w:numId="25">
    <w:abstractNumId w:val="7"/>
  </w:num>
  <w:num w:numId="26">
    <w:abstractNumId w:val="43"/>
  </w:num>
  <w:num w:numId="27">
    <w:abstractNumId w:val="22"/>
  </w:num>
  <w:num w:numId="28">
    <w:abstractNumId w:val="2"/>
  </w:num>
  <w:num w:numId="29">
    <w:abstractNumId w:val="19"/>
  </w:num>
  <w:num w:numId="30">
    <w:abstractNumId w:val="5"/>
  </w:num>
  <w:num w:numId="31">
    <w:abstractNumId w:val="32"/>
  </w:num>
  <w:num w:numId="32">
    <w:abstractNumId w:val="27"/>
  </w:num>
  <w:num w:numId="33">
    <w:abstractNumId w:val="14"/>
  </w:num>
  <w:num w:numId="34">
    <w:abstractNumId w:val="13"/>
  </w:num>
  <w:num w:numId="35">
    <w:abstractNumId w:val="29"/>
  </w:num>
  <w:num w:numId="36">
    <w:abstractNumId w:val="44"/>
  </w:num>
  <w:num w:numId="37">
    <w:abstractNumId w:val="6"/>
  </w:num>
  <w:num w:numId="38">
    <w:abstractNumId w:val="41"/>
  </w:num>
  <w:num w:numId="39">
    <w:abstractNumId w:val="38"/>
  </w:num>
  <w:num w:numId="40">
    <w:abstractNumId w:val="11"/>
  </w:num>
  <w:num w:numId="41">
    <w:abstractNumId w:val="0"/>
  </w:num>
  <w:num w:numId="42">
    <w:abstractNumId w:val="8"/>
  </w:num>
  <w:num w:numId="43">
    <w:abstractNumId w:val="30"/>
  </w:num>
  <w:num w:numId="44">
    <w:abstractNumId w:val="35"/>
  </w:num>
  <w:num w:numId="45">
    <w:abstractNumId w:val="18"/>
  </w:num>
  <w:num w:numId="46">
    <w:abstractNumId w:val="34"/>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FFC"/>
    <w:rsid w:val="00002979"/>
    <w:rsid w:val="00007743"/>
    <w:rsid w:val="00016825"/>
    <w:rsid w:val="000304FF"/>
    <w:rsid w:val="00034937"/>
    <w:rsid w:val="000349AE"/>
    <w:rsid w:val="000439B5"/>
    <w:rsid w:val="00044266"/>
    <w:rsid w:val="000443AE"/>
    <w:rsid w:val="0005181B"/>
    <w:rsid w:val="00057CD5"/>
    <w:rsid w:val="00071A01"/>
    <w:rsid w:val="00073270"/>
    <w:rsid w:val="00077130"/>
    <w:rsid w:val="0009541E"/>
    <w:rsid w:val="00097A62"/>
    <w:rsid w:val="000A05C4"/>
    <w:rsid w:val="000A5E84"/>
    <w:rsid w:val="000B5C99"/>
    <w:rsid w:val="000C774F"/>
    <w:rsid w:val="000D3EB5"/>
    <w:rsid w:val="000D5C25"/>
    <w:rsid w:val="000D64B9"/>
    <w:rsid w:val="000E5866"/>
    <w:rsid w:val="000F62BA"/>
    <w:rsid w:val="001039F7"/>
    <w:rsid w:val="0010416A"/>
    <w:rsid w:val="00106F94"/>
    <w:rsid w:val="001153AC"/>
    <w:rsid w:val="00121CC9"/>
    <w:rsid w:val="00124FFC"/>
    <w:rsid w:val="001313BA"/>
    <w:rsid w:val="00134D67"/>
    <w:rsid w:val="001427BB"/>
    <w:rsid w:val="00147195"/>
    <w:rsid w:val="001612EF"/>
    <w:rsid w:val="00164AE7"/>
    <w:rsid w:val="001664C0"/>
    <w:rsid w:val="00186384"/>
    <w:rsid w:val="00190916"/>
    <w:rsid w:val="00194F4C"/>
    <w:rsid w:val="00195C92"/>
    <w:rsid w:val="001A1887"/>
    <w:rsid w:val="001A6313"/>
    <w:rsid w:val="001B340D"/>
    <w:rsid w:val="001B58AC"/>
    <w:rsid w:val="001C62D0"/>
    <w:rsid w:val="001D1E20"/>
    <w:rsid w:val="001E2020"/>
    <w:rsid w:val="001E2366"/>
    <w:rsid w:val="001F15C1"/>
    <w:rsid w:val="001F2648"/>
    <w:rsid w:val="001F4804"/>
    <w:rsid w:val="001F7A20"/>
    <w:rsid w:val="00200D0E"/>
    <w:rsid w:val="002034D1"/>
    <w:rsid w:val="00205743"/>
    <w:rsid w:val="002145CE"/>
    <w:rsid w:val="00217A80"/>
    <w:rsid w:val="00232889"/>
    <w:rsid w:val="00237F56"/>
    <w:rsid w:val="00243D86"/>
    <w:rsid w:val="002456CE"/>
    <w:rsid w:val="00261E69"/>
    <w:rsid w:val="0026216E"/>
    <w:rsid w:val="002651DB"/>
    <w:rsid w:val="00265B28"/>
    <w:rsid w:val="00270FD8"/>
    <w:rsid w:val="002808FE"/>
    <w:rsid w:val="00281504"/>
    <w:rsid w:val="002A4BA1"/>
    <w:rsid w:val="002A5DC6"/>
    <w:rsid w:val="002C0036"/>
    <w:rsid w:val="002C41DA"/>
    <w:rsid w:val="002C4F9F"/>
    <w:rsid w:val="002F6BBF"/>
    <w:rsid w:val="0032269F"/>
    <w:rsid w:val="0032314B"/>
    <w:rsid w:val="00323CE8"/>
    <w:rsid w:val="00324C5A"/>
    <w:rsid w:val="003268F5"/>
    <w:rsid w:val="003313CB"/>
    <w:rsid w:val="00334721"/>
    <w:rsid w:val="00340D50"/>
    <w:rsid w:val="00352621"/>
    <w:rsid w:val="003532F0"/>
    <w:rsid w:val="00353465"/>
    <w:rsid w:val="0035394E"/>
    <w:rsid w:val="00355FB8"/>
    <w:rsid w:val="0036176B"/>
    <w:rsid w:val="00366A0D"/>
    <w:rsid w:val="00367DF3"/>
    <w:rsid w:val="0038250E"/>
    <w:rsid w:val="00383193"/>
    <w:rsid w:val="00385BA4"/>
    <w:rsid w:val="003920BD"/>
    <w:rsid w:val="00394346"/>
    <w:rsid w:val="00397431"/>
    <w:rsid w:val="003A63DD"/>
    <w:rsid w:val="003B2A31"/>
    <w:rsid w:val="003B6988"/>
    <w:rsid w:val="003C053C"/>
    <w:rsid w:val="003C6C1E"/>
    <w:rsid w:val="003D2CEA"/>
    <w:rsid w:val="003E052B"/>
    <w:rsid w:val="003E323F"/>
    <w:rsid w:val="003E67D8"/>
    <w:rsid w:val="003E759A"/>
    <w:rsid w:val="003F202C"/>
    <w:rsid w:val="00400805"/>
    <w:rsid w:val="004046B4"/>
    <w:rsid w:val="004200C6"/>
    <w:rsid w:val="00420BF1"/>
    <w:rsid w:val="00420DA7"/>
    <w:rsid w:val="00427610"/>
    <w:rsid w:val="00427EF0"/>
    <w:rsid w:val="004307CF"/>
    <w:rsid w:val="00432A8B"/>
    <w:rsid w:val="004345CA"/>
    <w:rsid w:val="004377C3"/>
    <w:rsid w:val="004401FC"/>
    <w:rsid w:val="00443D58"/>
    <w:rsid w:val="00456C66"/>
    <w:rsid w:val="004617F2"/>
    <w:rsid w:val="00491CD8"/>
    <w:rsid w:val="004923F3"/>
    <w:rsid w:val="004A5BE2"/>
    <w:rsid w:val="004B1625"/>
    <w:rsid w:val="004B2794"/>
    <w:rsid w:val="004B37D3"/>
    <w:rsid w:val="004B50B3"/>
    <w:rsid w:val="004D2F0D"/>
    <w:rsid w:val="004E5108"/>
    <w:rsid w:val="004F2179"/>
    <w:rsid w:val="004F31A6"/>
    <w:rsid w:val="004F7ABF"/>
    <w:rsid w:val="00507BEF"/>
    <w:rsid w:val="00513BF4"/>
    <w:rsid w:val="00536796"/>
    <w:rsid w:val="005406D2"/>
    <w:rsid w:val="0054181B"/>
    <w:rsid w:val="00555475"/>
    <w:rsid w:val="00565B69"/>
    <w:rsid w:val="00566ABA"/>
    <w:rsid w:val="00574E4C"/>
    <w:rsid w:val="00575B91"/>
    <w:rsid w:val="005932FF"/>
    <w:rsid w:val="005A1994"/>
    <w:rsid w:val="005A24BD"/>
    <w:rsid w:val="005B50C7"/>
    <w:rsid w:val="005C0214"/>
    <w:rsid w:val="005C0673"/>
    <w:rsid w:val="005C0B34"/>
    <w:rsid w:val="005C7251"/>
    <w:rsid w:val="005F2CF9"/>
    <w:rsid w:val="005F6BCB"/>
    <w:rsid w:val="005F71D7"/>
    <w:rsid w:val="00601496"/>
    <w:rsid w:val="00601843"/>
    <w:rsid w:val="00602FC1"/>
    <w:rsid w:val="00613091"/>
    <w:rsid w:val="00613D12"/>
    <w:rsid w:val="006172ED"/>
    <w:rsid w:val="00631AA7"/>
    <w:rsid w:val="00640AA8"/>
    <w:rsid w:val="00644D5C"/>
    <w:rsid w:val="006653AE"/>
    <w:rsid w:val="00674C4B"/>
    <w:rsid w:val="00685F1A"/>
    <w:rsid w:val="00687E82"/>
    <w:rsid w:val="006946BF"/>
    <w:rsid w:val="006A7C59"/>
    <w:rsid w:val="006B3AC1"/>
    <w:rsid w:val="006C1C46"/>
    <w:rsid w:val="006C2D30"/>
    <w:rsid w:val="006C63C5"/>
    <w:rsid w:val="006D47E4"/>
    <w:rsid w:val="006E5669"/>
    <w:rsid w:val="006E59A1"/>
    <w:rsid w:val="006F6D87"/>
    <w:rsid w:val="006F6E4B"/>
    <w:rsid w:val="00702B64"/>
    <w:rsid w:val="00703B5D"/>
    <w:rsid w:val="00730C13"/>
    <w:rsid w:val="00753B2B"/>
    <w:rsid w:val="007541BA"/>
    <w:rsid w:val="00754E59"/>
    <w:rsid w:val="00756355"/>
    <w:rsid w:val="00756651"/>
    <w:rsid w:val="00757A0B"/>
    <w:rsid w:val="007616BA"/>
    <w:rsid w:val="007651BE"/>
    <w:rsid w:val="00766C6B"/>
    <w:rsid w:val="007814C5"/>
    <w:rsid w:val="007816AC"/>
    <w:rsid w:val="00793F7B"/>
    <w:rsid w:val="0079592E"/>
    <w:rsid w:val="007974A2"/>
    <w:rsid w:val="007A639B"/>
    <w:rsid w:val="007C13B1"/>
    <w:rsid w:val="007C3AE2"/>
    <w:rsid w:val="007D441A"/>
    <w:rsid w:val="007D53A1"/>
    <w:rsid w:val="007E52E7"/>
    <w:rsid w:val="007F0C70"/>
    <w:rsid w:val="007F14F9"/>
    <w:rsid w:val="007F59B6"/>
    <w:rsid w:val="0080353D"/>
    <w:rsid w:val="0081521C"/>
    <w:rsid w:val="008175EC"/>
    <w:rsid w:val="00823D1D"/>
    <w:rsid w:val="00825443"/>
    <w:rsid w:val="008261B0"/>
    <w:rsid w:val="00826307"/>
    <w:rsid w:val="00827A2D"/>
    <w:rsid w:val="00832AE6"/>
    <w:rsid w:val="008556A0"/>
    <w:rsid w:val="00857F4F"/>
    <w:rsid w:val="00862A3E"/>
    <w:rsid w:val="00864EE9"/>
    <w:rsid w:val="00877D32"/>
    <w:rsid w:val="00884986"/>
    <w:rsid w:val="00887F8D"/>
    <w:rsid w:val="008A3DF5"/>
    <w:rsid w:val="008A5008"/>
    <w:rsid w:val="008A5D11"/>
    <w:rsid w:val="008A6C68"/>
    <w:rsid w:val="008B1E69"/>
    <w:rsid w:val="008B5A7E"/>
    <w:rsid w:val="008C2D01"/>
    <w:rsid w:val="008C52B8"/>
    <w:rsid w:val="008D0DCE"/>
    <w:rsid w:val="008E655E"/>
    <w:rsid w:val="008F11FE"/>
    <w:rsid w:val="008F5704"/>
    <w:rsid w:val="008F5912"/>
    <w:rsid w:val="009013BE"/>
    <w:rsid w:val="00904F8F"/>
    <w:rsid w:val="00915E49"/>
    <w:rsid w:val="00920945"/>
    <w:rsid w:val="00920C75"/>
    <w:rsid w:val="00927E21"/>
    <w:rsid w:val="0093279F"/>
    <w:rsid w:val="009335A7"/>
    <w:rsid w:val="00936B6D"/>
    <w:rsid w:val="00941069"/>
    <w:rsid w:val="00942ED2"/>
    <w:rsid w:val="00946526"/>
    <w:rsid w:val="00946C62"/>
    <w:rsid w:val="00950FD3"/>
    <w:rsid w:val="00965859"/>
    <w:rsid w:val="00980EC2"/>
    <w:rsid w:val="009844F5"/>
    <w:rsid w:val="00990FE8"/>
    <w:rsid w:val="009956F3"/>
    <w:rsid w:val="0099578D"/>
    <w:rsid w:val="009A02F1"/>
    <w:rsid w:val="009A0982"/>
    <w:rsid w:val="009B4F9D"/>
    <w:rsid w:val="009B5AF2"/>
    <w:rsid w:val="009C02EF"/>
    <w:rsid w:val="009C3545"/>
    <w:rsid w:val="009C493D"/>
    <w:rsid w:val="009D3203"/>
    <w:rsid w:val="009D5674"/>
    <w:rsid w:val="009E1223"/>
    <w:rsid w:val="009E42FC"/>
    <w:rsid w:val="009E4BF7"/>
    <w:rsid w:val="00A021ED"/>
    <w:rsid w:val="00A0286C"/>
    <w:rsid w:val="00A02BEF"/>
    <w:rsid w:val="00A26C33"/>
    <w:rsid w:val="00A333F1"/>
    <w:rsid w:val="00A577A9"/>
    <w:rsid w:val="00A76DBE"/>
    <w:rsid w:val="00A860A2"/>
    <w:rsid w:val="00A91CE1"/>
    <w:rsid w:val="00A92BF5"/>
    <w:rsid w:val="00A94CE3"/>
    <w:rsid w:val="00A94CEC"/>
    <w:rsid w:val="00A973E2"/>
    <w:rsid w:val="00A97661"/>
    <w:rsid w:val="00AA0607"/>
    <w:rsid w:val="00AA2430"/>
    <w:rsid w:val="00AA2941"/>
    <w:rsid w:val="00AA60D4"/>
    <w:rsid w:val="00AA6719"/>
    <w:rsid w:val="00AB57F4"/>
    <w:rsid w:val="00AB66B5"/>
    <w:rsid w:val="00AB703E"/>
    <w:rsid w:val="00AC60D7"/>
    <w:rsid w:val="00AC7678"/>
    <w:rsid w:val="00AD4520"/>
    <w:rsid w:val="00AF05B4"/>
    <w:rsid w:val="00AF206C"/>
    <w:rsid w:val="00B073A3"/>
    <w:rsid w:val="00B11290"/>
    <w:rsid w:val="00B23779"/>
    <w:rsid w:val="00B2471A"/>
    <w:rsid w:val="00B35861"/>
    <w:rsid w:val="00B41EB2"/>
    <w:rsid w:val="00B45484"/>
    <w:rsid w:val="00B55454"/>
    <w:rsid w:val="00B55EC5"/>
    <w:rsid w:val="00B64212"/>
    <w:rsid w:val="00B6479B"/>
    <w:rsid w:val="00B667E5"/>
    <w:rsid w:val="00B714A0"/>
    <w:rsid w:val="00B837F9"/>
    <w:rsid w:val="00B90397"/>
    <w:rsid w:val="00B975C8"/>
    <w:rsid w:val="00BA41E1"/>
    <w:rsid w:val="00BA75ED"/>
    <w:rsid w:val="00BB626A"/>
    <w:rsid w:val="00BB7902"/>
    <w:rsid w:val="00BC2A73"/>
    <w:rsid w:val="00BD05EF"/>
    <w:rsid w:val="00BD1B49"/>
    <w:rsid w:val="00BD4DC4"/>
    <w:rsid w:val="00BD65E1"/>
    <w:rsid w:val="00BF01C4"/>
    <w:rsid w:val="00BF178F"/>
    <w:rsid w:val="00BF772E"/>
    <w:rsid w:val="00C027C5"/>
    <w:rsid w:val="00C11B0B"/>
    <w:rsid w:val="00C30FD8"/>
    <w:rsid w:val="00C5524C"/>
    <w:rsid w:val="00C55D11"/>
    <w:rsid w:val="00C563B4"/>
    <w:rsid w:val="00C62E47"/>
    <w:rsid w:val="00C63560"/>
    <w:rsid w:val="00C65AE2"/>
    <w:rsid w:val="00C82550"/>
    <w:rsid w:val="00C87CEE"/>
    <w:rsid w:val="00C961AD"/>
    <w:rsid w:val="00CA1528"/>
    <w:rsid w:val="00CA26E8"/>
    <w:rsid w:val="00CC5D59"/>
    <w:rsid w:val="00CE0A84"/>
    <w:rsid w:val="00CE4076"/>
    <w:rsid w:val="00CE4F8D"/>
    <w:rsid w:val="00CF3A25"/>
    <w:rsid w:val="00CF504E"/>
    <w:rsid w:val="00CF54D5"/>
    <w:rsid w:val="00CF6CDA"/>
    <w:rsid w:val="00D00DE7"/>
    <w:rsid w:val="00D01512"/>
    <w:rsid w:val="00D054D0"/>
    <w:rsid w:val="00D1439F"/>
    <w:rsid w:val="00D156FD"/>
    <w:rsid w:val="00D232EF"/>
    <w:rsid w:val="00D30939"/>
    <w:rsid w:val="00D335D0"/>
    <w:rsid w:val="00D4258D"/>
    <w:rsid w:val="00D533DD"/>
    <w:rsid w:val="00D63063"/>
    <w:rsid w:val="00D63274"/>
    <w:rsid w:val="00D6637A"/>
    <w:rsid w:val="00D708B7"/>
    <w:rsid w:val="00D730FB"/>
    <w:rsid w:val="00D740CF"/>
    <w:rsid w:val="00DA0A60"/>
    <w:rsid w:val="00DA1AD4"/>
    <w:rsid w:val="00DB0A4A"/>
    <w:rsid w:val="00DB660F"/>
    <w:rsid w:val="00DD3A5D"/>
    <w:rsid w:val="00DD40EF"/>
    <w:rsid w:val="00DF4BFE"/>
    <w:rsid w:val="00DF4C86"/>
    <w:rsid w:val="00E02239"/>
    <w:rsid w:val="00E06193"/>
    <w:rsid w:val="00E07234"/>
    <w:rsid w:val="00E133E0"/>
    <w:rsid w:val="00E14A5D"/>
    <w:rsid w:val="00E202E2"/>
    <w:rsid w:val="00E279CB"/>
    <w:rsid w:val="00E33230"/>
    <w:rsid w:val="00E405EA"/>
    <w:rsid w:val="00E463B1"/>
    <w:rsid w:val="00E46791"/>
    <w:rsid w:val="00E518FC"/>
    <w:rsid w:val="00E5774E"/>
    <w:rsid w:val="00E60353"/>
    <w:rsid w:val="00E62CCD"/>
    <w:rsid w:val="00E641C9"/>
    <w:rsid w:val="00E735EA"/>
    <w:rsid w:val="00E74E5C"/>
    <w:rsid w:val="00E77814"/>
    <w:rsid w:val="00E91AED"/>
    <w:rsid w:val="00E96623"/>
    <w:rsid w:val="00E978DF"/>
    <w:rsid w:val="00EA042C"/>
    <w:rsid w:val="00EA25E7"/>
    <w:rsid w:val="00EA47BB"/>
    <w:rsid w:val="00EA5DD4"/>
    <w:rsid w:val="00EC4B12"/>
    <w:rsid w:val="00EC61D8"/>
    <w:rsid w:val="00ED4B1F"/>
    <w:rsid w:val="00ED6DD3"/>
    <w:rsid w:val="00EE1E7A"/>
    <w:rsid w:val="00EE5317"/>
    <w:rsid w:val="00EF0B62"/>
    <w:rsid w:val="00EF6968"/>
    <w:rsid w:val="00F075FB"/>
    <w:rsid w:val="00F26D69"/>
    <w:rsid w:val="00F3677A"/>
    <w:rsid w:val="00F435AE"/>
    <w:rsid w:val="00F44120"/>
    <w:rsid w:val="00F54A6E"/>
    <w:rsid w:val="00F56BB3"/>
    <w:rsid w:val="00F60262"/>
    <w:rsid w:val="00F67F5E"/>
    <w:rsid w:val="00F72D38"/>
    <w:rsid w:val="00F75A81"/>
    <w:rsid w:val="00F777F6"/>
    <w:rsid w:val="00F77AA3"/>
    <w:rsid w:val="00F8056B"/>
    <w:rsid w:val="00F82842"/>
    <w:rsid w:val="00F906B4"/>
    <w:rsid w:val="00F9489B"/>
    <w:rsid w:val="00FA0E43"/>
    <w:rsid w:val="00FA2857"/>
    <w:rsid w:val="00FA6FF3"/>
    <w:rsid w:val="00FB2988"/>
    <w:rsid w:val="00FB3154"/>
    <w:rsid w:val="00FC198A"/>
    <w:rsid w:val="00FC293C"/>
    <w:rsid w:val="00FC3FFB"/>
    <w:rsid w:val="00FC423A"/>
    <w:rsid w:val="00FD2E08"/>
    <w:rsid w:val="00FD7AE7"/>
    <w:rsid w:val="00FE3625"/>
    <w:rsid w:val="00FE42D7"/>
    <w:rsid w:val="00FE4AD7"/>
    <w:rsid w:val="00FE6519"/>
    <w:rsid w:val="00FF2B93"/>
    <w:rsid w:val="00FF53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568C5D"/>
  <w15:docId w15:val="{62C30442-F34E-4669-84C7-400639A58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0C75"/>
    <w:pPr>
      <w:keepNext/>
      <w:keepLines/>
      <w:numPr>
        <w:numId w:val="21"/>
      </w:numPr>
      <w:spacing w:before="120" w:after="120"/>
      <w:outlineLvl w:val="0"/>
    </w:pPr>
    <w:rPr>
      <w:rFonts w:eastAsiaTheme="majorEastAsia" w:cstheme="majorBidi"/>
      <w:b/>
      <w:color w:val="91C93D"/>
      <w:sz w:val="28"/>
      <w:szCs w:val="32"/>
    </w:rPr>
  </w:style>
  <w:style w:type="paragraph" w:styleId="Heading2">
    <w:name w:val="heading 2"/>
    <w:basedOn w:val="Normal"/>
    <w:next w:val="Normal"/>
    <w:link w:val="Heading2Char"/>
    <w:uiPriority w:val="9"/>
    <w:unhideWhenUsed/>
    <w:qFormat/>
    <w:rsid w:val="00920C75"/>
    <w:pPr>
      <w:keepNext/>
      <w:keepLines/>
      <w:numPr>
        <w:ilvl w:val="1"/>
        <w:numId w:val="21"/>
      </w:numPr>
      <w:spacing w:after="120"/>
      <w:outlineLvl w:val="1"/>
    </w:pPr>
    <w:rPr>
      <w:rFonts w:eastAsiaTheme="majorEastAsia" w:cstheme="majorBidi"/>
      <w:b/>
      <w:color w:val="91C93D"/>
      <w:sz w:val="24"/>
      <w:szCs w:val="26"/>
    </w:rPr>
  </w:style>
  <w:style w:type="paragraph" w:styleId="Heading3">
    <w:name w:val="heading 3"/>
    <w:basedOn w:val="Normal"/>
    <w:next w:val="Normal"/>
    <w:link w:val="Heading3Char"/>
    <w:uiPriority w:val="9"/>
    <w:semiHidden/>
    <w:unhideWhenUsed/>
    <w:qFormat/>
    <w:rsid w:val="00EE5317"/>
    <w:pPr>
      <w:keepNext/>
      <w:keepLines/>
      <w:numPr>
        <w:ilvl w:val="2"/>
        <w:numId w:val="2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E5317"/>
    <w:pPr>
      <w:keepNext/>
      <w:keepLines/>
      <w:numPr>
        <w:ilvl w:val="3"/>
        <w:numId w:val="2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E5317"/>
    <w:pPr>
      <w:keepNext/>
      <w:keepLines/>
      <w:numPr>
        <w:ilvl w:val="4"/>
        <w:numId w:val="2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E5317"/>
    <w:pPr>
      <w:keepNext/>
      <w:keepLines/>
      <w:numPr>
        <w:ilvl w:val="5"/>
        <w:numId w:val="2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E5317"/>
    <w:pPr>
      <w:keepNext/>
      <w:keepLines/>
      <w:numPr>
        <w:ilvl w:val="6"/>
        <w:numId w:val="2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E5317"/>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E5317"/>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apis Bulleted List,List Paragraph (numbered (a)),Dot pt,F5 List Paragraph,No Spacing1,List Paragraph Char Char Char,Indicator Text,Numbered Para 1,Bullet 1,List Paragraph12,Bullet Points,MAIN CONTENT,WB Para,List Paragraph1"/>
    <w:basedOn w:val="Normal"/>
    <w:link w:val="ListParagraphChar"/>
    <w:uiPriority w:val="34"/>
    <w:qFormat/>
    <w:rsid w:val="001E2020"/>
    <w:pPr>
      <w:ind w:left="720"/>
      <w:contextualSpacing/>
    </w:pPr>
  </w:style>
  <w:style w:type="paragraph" w:styleId="BalloonText">
    <w:name w:val="Balloon Text"/>
    <w:basedOn w:val="Normal"/>
    <w:link w:val="BalloonTextChar"/>
    <w:uiPriority w:val="99"/>
    <w:semiHidden/>
    <w:unhideWhenUsed/>
    <w:rsid w:val="001F4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804"/>
    <w:rPr>
      <w:rFonts w:ascii="Segoe UI" w:hAnsi="Segoe UI" w:cs="Segoe UI"/>
      <w:sz w:val="18"/>
      <w:szCs w:val="18"/>
    </w:rPr>
  </w:style>
  <w:style w:type="table" w:styleId="TableGrid">
    <w:name w:val="Table Grid"/>
    <w:basedOn w:val="TableNormal"/>
    <w:uiPriority w:val="39"/>
    <w:rsid w:val="008B5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61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20C75"/>
    <w:rPr>
      <w:rFonts w:eastAsiaTheme="majorEastAsia" w:cstheme="majorBidi"/>
      <w:b/>
      <w:color w:val="91C93D"/>
      <w:sz w:val="28"/>
      <w:szCs w:val="32"/>
    </w:rPr>
  </w:style>
  <w:style w:type="character" w:customStyle="1" w:styleId="Heading2Char">
    <w:name w:val="Heading 2 Char"/>
    <w:basedOn w:val="DefaultParagraphFont"/>
    <w:link w:val="Heading2"/>
    <w:uiPriority w:val="9"/>
    <w:rsid w:val="00920C75"/>
    <w:rPr>
      <w:rFonts w:eastAsiaTheme="majorEastAsia" w:cstheme="majorBidi"/>
      <w:b/>
      <w:color w:val="91C93D"/>
      <w:sz w:val="24"/>
      <w:szCs w:val="26"/>
    </w:rPr>
  </w:style>
  <w:style w:type="character" w:customStyle="1" w:styleId="Heading3Char">
    <w:name w:val="Heading 3 Char"/>
    <w:basedOn w:val="DefaultParagraphFont"/>
    <w:link w:val="Heading3"/>
    <w:uiPriority w:val="9"/>
    <w:semiHidden/>
    <w:rsid w:val="00EE531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E531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E531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E531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E531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E53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5317"/>
    <w:rPr>
      <w:rFonts w:asciiTheme="majorHAnsi" w:eastAsiaTheme="majorEastAsia" w:hAnsiTheme="majorHAnsi" w:cstheme="majorBidi"/>
      <w:i/>
      <w:iCs/>
      <w:color w:val="272727" w:themeColor="text1" w:themeTint="D8"/>
      <w:sz w:val="21"/>
      <w:szCs w:val="21"/>
    </w:rPr>
  </w:style>
  <w:style w:type="paragraph" w:styleId="CommentText">
    <w:name w:val="annotation text"/>
    <w:basedOn w:val="Normal"/>
    <w:link w:val="CommentTextChar"/>
    <w:uiPriority w:val="99"/>
    <w:unhideWhenUsed/>
    <w:rsid w:val="008A5D11"/>
    <w:pPr>
      <w:spacing w:line="240" w:lineRule="auto"/>
    </w:pPr>
    <w:rPr>
      <w:sz w:val="20"/>
      <w:szCs w:val="20"/>
    </w:rPr>
  </w:style>
  <w:style w:type="character" w:customStyle="1" w:styleId="CommentTextChar">
    <w:name w:val="Comment Text Char"/>
    <w:basedOn w:val="DefaultParagraphFont"/>
    <w:link w:val="CommentText"/>
    <w:uiPriority w:val="99"/>
    <w:rsid w:val="008A5D11"/>
    <w:rPr>
      <w:sz w:val="20"/>
      <w:szCs w:val="20"/>
    </w:rPr>
  </w:style>
  <w:style w:type="character" w:styleId="CommentReference">
    <w:name w:val="annotation reference"/>
    <w:basedOn w:val="DefaultParagraphFont"/>
    <w:uiPriority w:val="99"/>
    <w:semiHidden/>
    <w:unhideWhenUsed/>
    <w:rsid w:val="008A5D11"/>
    <w:rPr>
      <w:sz w:val="16"/>
      <w:szCs w:val="16"/>
    </w:rPr>
  </w:style>
  <w:style w:type="character" w:styleId="Hyperlink">
    <w:name w:val="Hyperlink"/>
    <w:basedOn w:val="DefaultParagraphFont"/>
    <w:uiPriority w:val="99"/>
    <w:unhideWhenUsed/>
    <w:rsid w:val="008A5D11"/>
    <w:rPr>
      <w:color w:val="0563C1" w:themeColor="hyperlink"/>
      <w:u w:val="single"/>
    </w:rPr>
  </w:style>
  <w:style w:type="paragraph" w:styleId="TOCHeading">
    <w:name w:val="TOC Heading"/>
    <w:basedOn w:val="Heading1"/>
    <w:next w:val="Normal"/>
    <w:uiPriority w:val="39"/>
    <w:unhideWhenUsed/>
    <w:qFormat/>
    <w:rsid w:val="000304FF"/>
    <w:pPr>
      <w:numPr>
        <w:numId w:val="0"/>
      </w:numPr>
      <w:spacing w:before="240" w:after="0"/>
      <w:outlineLvl w:val="9"/>
    </w:pPr>
    <w:rPr>
      <w:rFonts w:asciiTheme="majorHAnsi" w:hAnsiTheme="majorHAnsi"/>
      <w:sz w:val="32"/>
    </w:rPr>
  </w:style>
  <w:style w:type="paragraph" w:styleId="TOC1">
    <w:name w:val="toc 1"/>
    <w:basedOn w:val="Normal"/>
    <w:next w:val="Normal"/>
    <w:autoRedefine/>
    <w:uiPriority w:val="39"/>
    <w:unhideWhenUsed/>
    <w:rsid w:val="000304FF"/>
    <w:pPr>
      <w:spacing w:after="100"/>
    </w:pPr>
  </w:style>
  <w:style w:type="paragraph" w:styleId="TOC2">
    <w:name w:val="toc 2"/>
    <w:basedOn w:val="Normal"/>
    <w:next w:val="Normal"/>
    <w:autoRedefine/>
    <w:uiPriority w:val="39"/>
    <w:unhideWhenUsed/>
    <w:rsid w:val="000304FF"/>
    <w:pPr>
      <w:spacing w:after="100"/>
      <w:ind w:left="220"/>
    </w:pPr>
  </w:style>
  <w:style w:type="paragraph" w:styleId="FootnoteText">
    <w:name w:val="footnote text"/>
    <w:basedOn w:val="Normal"/>
    <w:link w:val="FootnoteTextChar"/>
    <w:uiPriority w:val="99"/>
    <w:unhideWhenUsed/>
    <w:rsid w:val="005F6BCB"/>
    <w:pPr>
      <w:spacing w:after="0" w:line="240" w:lineRule="auto"/>
    </w:pPr>
    <w:rPr>
      <w:sz w:val="20"/>
      <w:szCs w:val="20"/>
    </w:rPr>
  </w:style>
  <w:style w:type="character" w:customStyle="1" w:styleId="FootnoteTextChar">
    <w:name w:val="Footnote Text Char"/>
    <w:basedOn w:val="DefaultParagraphFont"/>
    <w:link w:val="FootnoteText"/>
    <w:uiPriority w:val="99"/>
    <w:rsid w:val="005F6BCB"/>
    <w:rPr>
      <w:sz w:val="20"/>
      <w:szCs w:val="20"/>
    </w:rPr>
  </w:style>
  <w:style w:type="character" w:styleId="FootnoteReference">
    <w:name w:val="footnote reference"/>
    <w:basedOn w:val="DefaultParagraphFont"/>
    <w:uiPriority w:val="99"/>
    <w:semiHidden/>
    <w:unhideWhenUsed/>
    <w:rsid w:val="005F6BCB"/>
    <w:rPr>
      <w:vertAlign w:val="superscript"/>
    </w:rPr>
  </w:style>
  <w:style w:type="paragraph" w:styleId="Header">
    <w:name w:val="header"/>
    <w:basedOn w:val="Normal"/>
    <w:link w:val="HeaderChar"/>
    <w:uiPriority w:val="99"/>
    <w:unhideWhenUsed/>
    <w:rsid w:val="00566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ABA"/>
  </w:style>
  <w:style w:type="paragraph" w:styleId="Footer">
    <w:name w:val="footer"/>
    <w:basedOn w:val="Normal"/>
    <w:link w:val="FooterChar"/>
    <w:uiPriority w:val="99"/>
    <w:unhideWhenUsed/>
    <w:rsid w:val="00566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ABA"/>
  </w:style>
  <w:style w:type="paragraph" w:styleId="CommentSubject">
    <w:name w:val="annotation subject"/>
    <w:basedOn w:val="CommentText"/>
    <w:next w:val="CommentText"/>
    <w:link w:val="CommentSubjectChar"/>
    <w:uiPriority w:val="99"/>
    <w:semiHidden/>
    <w:unhideWhenUsed/>
    <w:rsid w:val="00281504"/>
    <w:rPr>
      <w:b/>
      <w:bCs/>
    </w:rPr>
  </w:style>
  <w:style w:type="character" w:customStyle="1" w:styleId="CommentSubjectChar">
    <w:name w:val="Comment Subject Char"/>
    <w:basedOn w:val="CommentTextChar"/>
    <w:link w:val="CommentSubject"/>
    <w:uiPriority w:val="99"/>
    <w:semiHidden/>
    <w:rsid w:val="00281504"/>
    <w:rPr>
      <w:b/>
      <w:bCs/>
      <w:sz w:val="20"/>
      <w:szCs w:val="20"/>
    </w:rPr>
  </w:style>
  <w:style w:type="character" w:customStyle="1" w:styleId="UnresolvedMention1">
    <w:name w:val="Unresolved Mention1"/>
    <w:basedOn w:val="DefaultParagraphFont"/>
    <w:uiPriority w:val="99"/>
    <w:semiHidden/>
    <w:unhideWhenUsed/>
    <w:rsid w:val="0038250E"/>
    <w:rPr>
      <w:color w:val="605E5C"/>
      <w:shd w:val="clear" w:color="auto" w:fill="E1DFDD"/>
    </w:rPr>
  </w:style>
  <w:style w:type="character" w:styleId="FollowedHyperlink">
    <w:name w:val="FollowedHyperlink"/>
    <w:basedOn w:val="DefaultParagraphFont"/>
    <w:uiPriority w:val="99"/>
    <w:semiHidden/>
    <w:unhideWhenUsed/>
    <w:rsid w:val="0038250E"/>
    <w:rPr>
      <w:color w:val="954F72" w:themeColor="followedHyperlink"/>
      <w:u w:val="single"/>
    </w:rPr>
  </w:style>
  <w:style w:type="character" w:styleId="Strong">
    <w:name w:val="Strong"/>
    <w:basedOn w:val="DefaultParagraphFont"/>
    <w:uiPriority w:val="22"/>
    <w:qFormat/>
    <w:rsid w:val="00200D0E"/>
    <w:rPr>
      <w:b/>
      <w:bCs/>
    </w:rPr>
  </w:style>
  <w:style w:type="paragraph" w:styleId="NormalWeb">
    <w:name w:val="Normal (Web)"/>
    <w:basedOn w:val="Normal"/>
    <w:uiPriority w:val="99"/>
    <w:semiHidden/>
    <w:unhideWhenUsed/>
    <w:rsid w:val="000D5C25"/>
    <w:pPr>
      <w:spacing w:before="100" w:beforeAutospacing="1" w:after="100" w:afterAutospacing="1" w:line="240" w:lineRule="auto"/>
    </w:pPr>
    <w:rPr>
      <w:rFonts w:ascii="Times" w:hAnsi="Times" w:cs="Times New Roman"/>
      <w:sz w:val="20"/>
      <w:szCs w:val="20"/>
      <w:lang w:val="en-AU"/>
    </w:rPr>
  </w:style>
  <w:style w:type="character" w:customStyle="1" w:styleId="ListParagraphChar">
    <w:name w:val="List Paragraph Char"/>
    <w:aliases w:val="Lapis Bulleted List Char,List Paragraph (numbered (a)) Char,Dot pt Char,F5 List Paragraph Char,No Spacing1 Char,List Paragraph Char Char Char Char,Indicator Text Char,Numbered Para 1 Char,Bullet 1 Char,List Paragraph12 Char"/>
    <w:basedOn w:val="DefaultParagraphFont"/>
    <w:link w:val="ListParagraph"/>
    <w:uiPriority w:val="34"/>
    <w:qFormat/>
    <w:locked/>
    <w:rsid w:val="00034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09301">
      <w:bodyDiv w:val="1"/>
      <w:marLeft w:val="0"/>
      <w:marRight w:val="0"/>
      <w:marTop w:val="0"/>
      <w:marBottom w:val="0"/>
      <w:divBdr>
        <w:top w:val="none" w:sz="0" w:space="0" w:color="auto"/>
        <w:left w:val="none" w:sz="0" w:space="0" w:color="auto"/>
        <w:bottom w:val="none" w:sz="0" w:space="0" w:color="auto"/>
        <w:right w:val="none" w:sz="0" w:space="0" w:color="auto"/>
      </w:divBdr>
    </w:div>
    <w:div w:id="227419808">
      <w:bodyDiv w:val="1"/>
      <w:marLeft w:val="0"/>
      <w:marRight w:val="0"/>
      <w:marTop w:val="0"/>
      <w:marBottom w:val="0"/>
      <w:divBdr>
        <w:top w:val="none" w:sz="0" w:space="0" w:color="auto"/>
        <w:left w:val="none" w:sz="0" w:space="0" w:color="auto"/>
        <w:bottom w:val="none" w:sz="0" w:space="0" w:color="auto"/>
        <w:right w:val="none" w:sz="0" w:space="0" w:color="auto"/>
      </w:divBdr>
      <w:divsChild>
        <w:div w:id="15235204">
          <w:marLeft w:val="0"/>
          <w:marRight w:val="0"/>
          <w:marTop w:val="0"/>
          <w:marBottom w:val="0"/>
          <w:divBdr>
            <w:top w:val="none" w:sz="0" w:space="0" w:color="auto"/>
            <w:left w:val="none" w:sz="0" w:space="0" w:color="auto"/>
            <w:bottom w:val="none" w:sz="0" w:space="0" w:color="auto"/>
            <w:right w:val="none" w:sz="0" w:space="0" w:color="auto"/>
          </w:divBdr>
          <w:divsChild>
            <w:div w:id="190843488">
              <w:marLeft w:val="0"/>
              <w:marRight w:val="0"/>
              <w:marTop w:val="0"/>
              <w:marBottom w:val="0"/>
              <w:divBdr>
                <w:top w:val="none" w:sz="0" w:space="0" w:color="auto"/>
                <w:left w:val="none" w:sz="0" w:space="0" w:color="auto"/>
                <w:bottom w:val="none" w:sz="0" w:space="0" w:color="auto"/>
                <w:right w:val="none" w:sz="0" w:space="0" w:color="auto"/>
              </w:divBdr>
              <w:divsChild>
                <w:div w:id="1006633824">
                  <w:marLeft w:val="0"/>
                  <w:marRight w:val="0"/>
                  <w:marTop w:val="0"/>
                  <w:marBottom w:val="0"/>
                  <w:divBdr>
                    <w:top w:val="none" w:sz="0" w:space="0" w:color="auto"/>
                    <w:left w:val="none" w:sz="0" w:space="0" w:color="auto"/>
                    <w:bottom w:val="none" w:sz="0" w:space="0" w:color="auto"/>
                    <w:right w:val="none" w:sz="0" w:space="0" w:color="auto"/>
                  </w:divBdr>
                  <w:divsChild>
                    <w:div w:id="76592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70236">
      <w:bodyDiv w:val="1"/>
      <w:marLeft w:val="0"/>
      <w:marRight w:val="0"/>
      <w:marTop w:val="0"/>
      <w:marBottom w:val="0"/>
      <w:divBdr>
        <w:top w:val="none" w:sz="0" w:space="0" w:color="auto"/>
        <w:left w:val="none" w:sz="0" w:space="0" w:color="auto"/>
        <w:bottom w:val="none" w:sz="0" w:space="0" w:color="auto"/>
        <w:right w:val="none" w:sz="0" w:space="0" w:color="auto"/>
      </w:divBdr>
    </w:div>
    <w:div w:id="399645485">
      <w:bodyDiv w:val="1"/>
      <w:marLeft w:val="0"/>
      <w:marRight w:val="0"/>
      <w:marTop w:val="0"/>
      <w:marBottom w:val="0"/>
      <w:divBdr>
        <w:top w:val="none" w:sz="0" w:space="0" w:color="auto"/>
        <w:left w:val="none" w:sz="0" w:space="0" w:color="auto"/>
        <w:bottom w:val="none" w:sz="0" w:space="0" w:color="auto"/>
        <w:right w:val="none" w:sz="0" w:space="0" w:color="auto"/>
      </w:divBdr>
    </w:div>
    <w:div w:id="451559918">
      <w:bodyDiv w:val="1"/>
      <w:marLeft w:val="0"/>
      <w:marRight w:val="0"/>
      <w:marTop w:val="0"/>
      <w:marBottom w:val="0"/>
      <w:divBdr>
        <w:top w:val="none" w:sz="0" w:space="0" w:color="auto"/>
        <w:left w:val="none" w:sz="0" w:space="0" w:color="auto"/>
        <w:bottom w:val="none" w:sz="0" w:space="0" w:color="auto"/>
        <w:right w:val="none" w:sz="0" w:space="0" w:color="auto"/>
      </w:divBdr>
    </w:div>
    <w:div w:id="773136458">
      <w:bodyDiv w:val="1"/>
      <w:marLeft w:val="0"/>
      <w:marRight w:val="0"/>
      <w:marTop w:val="0"/>
      <w:marBottom w:val="0"/>
      <w:divBdr>
        <w:top w:val="none" w:sz="0" w:space="0" w:color="auto"/>
        <w:left w:val="none" w:sz="0" w:space="0" w:color="auto"/>
        <w:bottom w:val="none" w:sz="0" w:space="0" w:color="auto"/>
        <w:right w:val="none" w:sz="0" w:space="0" w:color="auto"/>
      </w:divBdr>
    </w:div>
    <w:div w:id="822890172">
      <w:bodyDiv w:val="1"/>
      <w:marLeft w:val="0"/>
      <w:marRight w:val="0"/>
      <w:marTop w:val="0"/>
      <w:marBottom w:val="0"/>
      <w:divBdr>
        <w:top w:val="none" w:sz="0" w:space="0" w:color="auto"/>
        <w:left w:val="none" w:sz="0" w:space="0" w:color="auto"/>
        <w:bottom w:val="none" w:sz="0" w:space="0" w:color="auto"/>
        <w:right w:val="none" w:sz="0" w:space="0" w:color="auto"/>
      </w:divBdr>
    </w:div>
    <w:div w:id="893662127">
      <w:bodyDiv w:val="1"/>
      <w:marLeft w:val="0"/>
      <w:marRight w:val="0"/>
      <w:marTop w:val="0"/>
      <w:marBottom w:val="0"/>
      <w:divBdr>
        <w:top w:val="none" w:sz="0" w:space="0" w:color="auto"/>
        <w:left w:val="none" w:sz="0" w:space="0" w:color="auto"/>
        <w:bottom w:val="none" w:sz="0" w:space="0" w:color="auto"/>
        <w:right w:val="none" w:sz="0" w:space="0" w:color="auto"/>
      </w:divBdr>
    </w:div>
    <w:div w:id="1603417319">
      <w:bodyDiv w:val="1"/>
      <w:marLeft w:val="0"/>
      <w:marRight w:val="0"/>
      <w:marTop w:val="0"/>
      <w:marBottom w:val="0"/>
      <w:divBdr>
        <w:top w:val="none" w:sz="0" w:space="0" w:color="auto"/>
        <w:left w:val="none" w:sz="0" w:space="0" w:color="auto"/>
        <w:bottom w:val="none" w:sz="0" w:space="0" w:color="auto"/>
        <w:right w:val="none" w:sz="0" w:space="0" w:color="auto"/>
      </w:divBdr>
    </w:div>
    <w:div w:id="1876652232">
      <w:bodyDiv w:val="1"/>
      <w:marLeft w:val="0"/>
      <w:marRight w:val="0"/>
      <w:marTop w:val="0"/>
      <w:marBottom w:val="0"/>
      <w:divBdr>
        <w:top w:val="none" w:sz="0" w:space="0" w:color="auto"/>
        <w:left w:val="none" w:sz="0" w:space="0" w:color="auto"/>
        <w:bottom w:val="none" w:sz="0" w:space="0" w:color="auto"/>
        <w:right w:val="none" w:sz="0" w:space="0" w:color="auto"/>
      </w:divBdr>
    </w:div>
    <w:div w:id="202559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xls"/><Relationship Id="rId18" Type="http://schemas.openxmlformats.org/officeDocument/2006/relationships/hyperlink" Target="https://doi.org/10.1371/journal.pone.0230989" TargetMode="External"/><Relationship Id="rId26" Type="http://schemas.openxmlformats.org/officeDocument/2006/relationships/hyperlink" Target="https://www.unicef-irc.org/publications/782-cash-transfers-and-child-nutrition-what-we-know-and-what-we-need-to-know.html" TargetMode="External"/><Relationship Id="rId39" Type="http://schemas.openxmlformats.org/officeDocument/2006/relationships/footer" Target="footer1.xml"/><Relationship Id="rId21" Type="http://schemas.openxmlformats.org/officeDocument/2006/relationships/hyperlink" Target="https://reliefweb.int/report/somalia/somalia-humanitarian-response-plan-2020-january-2020" TargetMode="External"/><Relationship Id="rId34" Type="http://schemas.openxmlformats.org/officeDocument/2006/relationships/hyperlink" Target="https://www.spring-nutrition.org/publications/tool-summaries/coping-strategies-index-field-methods-manual-2nd-edi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umanitarianresponse.info/sites/www.humanitarianresponse.info/files/documents/files/reach_som_dashboard_cash_working_group_apr_2020.pdf" TargetMode="External"/><Relationship Id="rId20" Type="http://schemas.openxmlformats.org/officeDocument/2006/relationships/hyperlink" Target="https://doi.org/10.1371/journal.pmed.1002684" TargetMode="External"/><Relationship Id="rId29" Type="http://schemas.openxmlformats.org/officeDocument/2006/relationships/hyperlink" Target="https://journals.plos.org/plosmedicine/article?id=10.1371/journal.pmed.100268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odi.org/publications/10505-cash-transfers-what-does-evidence-say-rigorous-review-impacts-and-role-design-and-implementation" TargetMode="External"/><Relationship Id="rId32" Type="http://schemas.openxmlformats.org/officeDocument/2006/relationships/hyperlink" Target="https://inddex.nutrition.tufts.edu/data4diets/indicator/minimum-dietary-diversity-mdd" TargetMode="External"/><Relationship Id="rId37" Type="http://schemas.openxmlformats.org/officeDocument/2006/relationships/hyperlink" Target="https://www.calpnetwork.org/publication/cva-in-covid-19-contexts-guidance-from-the-calp-networ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www.actioncontrelafaim.org/wp-content/uploads/2018/06/R4ACT-Final-Report-230718.pdf" TargetMode="External"/><Relationship Id="rId28" Type="http://schemas.openxmlformats.org/officeDocument/2006/relationships/hyperlink" Target="https://www.calpnetwork.org/publication/considering-incorporating-cva-into-nutrition-programming-a-3-step-programming-tool/" TargetMode="External"/><Relationship Id="rId36" Type="http://schemas.openxmlformats.org/officeDocument/2006/relationships/hyperlink" Target="https://www.who.int/data/gho/indicator-metadata-registry/imr-details/4844" TargetMode="External"/><Relationship Id="rId10" Type="http://schemas.openxmlformats.org/officeDocument/2006/relationships/image" Target="media/image3.emf"/><Relationship Id="rId19" Type="http://schemas.openxmlformats.org/officeDocument/2006/relationships/hyperlink" Target="https://bmcmedicine.biomedcentral.com/articles/10.1186/s12916-017-0848-y" TargetMode="External"/><Relationship Id="rId31" Type="http://schemas.openxmlformats.org/officeDocument/2006/relationships/hyperlink" Target="https://inddex.nutrition.tufts.edu/data4diets/indicator/minimum-acceptable-diet-ma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www.actionagainsthunger.org/publication/2015/09/refani-literature-review" TargetMode="External"/><Relationship Id="rId27" Type="http://schemas.openxmlformats.org/officeDocument/2006/relationships/hyperlink" Target="https://www.odi.org/publications/6338-impact-cash-transfers-nutrition-emergency-and-transitional-contexts" TargetMode="External"/><Relationship Id="rId30" Type="http://schemas.openxmlformats.org/officeDocument/2006/relationships/hyperlink" Target="https://www.fantaproject.org/monitoring-and-evaluation/minimum-dietary-diversity-women-indicator-mddw" TargetMode="External"/><Relationship Id="rId35" Type="http://schemas.openxmlformats.org/officeDocument/2006/relationships/hyperlink" Target="https://inddex.nutrition.tufts.edu/data4diets/indicator/household-food-expenditure-share?back=/data4diets/indicator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i.org/10.1111/mcn.12966" TargetMode="External"/><Relationship Id="rId25" Type="http://schemas.openxmlformats.org/officeDocument/2006/relationships/hyperlink" Target="https://www.actionagainsthunger.org/publication/2015/09/refani-literature-review" TargetMode="External"/><Relationship Id="rId33" Type="http://schemas.openxmlformats.org/officeDocument/2006/relationships/hyperlink" Target="https://www.who.int/nutrition/databases/infantfeeding/data_source_inclusion_criteria/en/" TargetMode="External"/><Relationship Id="rId38" Type="http://schemas.openxmlformats.org/officeDocument/2006/relationships/hyperlink" Target="https://www.calpnetwork.org/publication/cva-in-covid-19-contexts-guidance-from-the-calp-networ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liefweb.int/sites/reliefweb.int/files/resources/gd-afghanistan-multisector-copying-strategy-index-240518-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1D42E-22C0-4B75-AC70-44D756F8F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12124</Words>
  <Characters>69111</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Durr</dc:creator>
  <cp:keywords/>
  <dc:description/>
  <cp:lastModifiedBy>Andre Durr</cp:lastModifiedBy>
  <cp:revision>5</cp:revision>
  <dcterms:created xsi:type="dcterms:W3CDTF">2020-07-23T07:42:00Z</dcterms:created>
  <dcterms:modified xsi:type="dcterms:W3CDTF">2020-07-23T07:57:00Z</dcterms:modified>
</cp:coreProperties>
</file>