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5102" w14:textId="2F29D94F" w:rsidR="00BB0B75" w:rsidRPr="00710595" w:rsidRDefault="00415021" w:rsidP="001660B9">
      <w:pPr>
        <w:jc w:val="center"/>
        <w:rPr>
          <w:rFonts w:asciiTheme="majorHAnsi" w:hAnsiTheme="majorHAnsi" w:cs="Calibri"/>
          <w:b/>
          <w:bCs/>
          <w:sz w:val="28"/>
          <w:szCs w:val="22"/>
        </w:rPr>
      </w:pPr>
      <w:r w:rsidRPr="00710595">
        <w:rPr>
          <w:rFonts w:asciiTheme="majorHAnsi" w:hAnsiTheme="majorHAnsi" w:cs="Calibri"/>
          <w:sz w:val="28"/>
          <w:szCs w:val="22"/>
        </w:rPr>
        <w:t>Formatio</w:t>
      </w:r>
      <w:r w:rsidR="003C6858" w:rsidRPr="00710595">
        <w:rPr>
          <w:rFonts w:asciiTheme="majorHAnsi" w:hAnsiTheme="majorHAnsi" w:cs="Calibri"/>
          <w:sz w:val="28"/>
          <w:szCs w:val="22"/>
        </w:rPr>
        <w:t>n</w:t>
      </w:r>
      <w:r w:rsidR="00B76882" w:rsidRPr="00710595">
        <w:rPr>
          <w:rFonts w:asciiTheme="majorHAnsi" w:hAnsiTheme="majorHAnsi" w:cs="Calibri"/>
          <w:sz w:val="28"/>
          <w:szCs w:val="22"/>
        </w:rPr>
        <w:t> : Les partenaires et la c</w:t>
      </w:r>
      <w:r w:rsidR="003C6858" w:rsidRPr="00710595">
        <w:rPr>
          <w:rFonts w:asciiTheme="majorHAnsi" w:hAnsiTheme="majorHAnsi" w:cs="Calibri"/>
          <w:sz w:val="28"/>
          <w:szCs w:val="22"/>
        </w:rPr>
        <w:t xml:space="preserve">oordination </w:t>
      </w:r>
      <w:r w:rsidR="00B76882" w:rsidRPr="00710595">
        <w:rPr>
          <w:rFonts w:asciiTheme="majorHAnsi" w:hAnsiTheme="majorHAnsi" w:cs="Calibri"/>
          <w:sz w:val="28"/>
          <w:szCs w:val="22"/>
        </w:rPr>
        <w:t>au</w:t>
      </w:r>
      <w:r w:rsidRPr="00710595">
        <w:rPr>
          <w:rFonts w:asciiTheme="majorHAnsi" w:hAnsiTheme="majorHAnsi" w:cs="Calibri"/>
          <w:sz w:val="28"/>
          <w:szCs w:val="22"/>
        </w:rPr>
        <w:t xml:space="preserve"> Cluster </w:t>
      </w:r>
      <w:r w:rsidR="002A0D2F" w:rsidRPr="00710595">
        <w:rPr>
          <w:rFonts w:asciiTheme="majorHAnsi" w:hAnsiTheme="majorHAnsi" w:cs="Calibri"/>
          <w:sz w:val="28"/>
          <w:szCs w:val="22"/>
        </w:rPr>
        <w:t>Nutrition</w:t>
      </w:r>
      <w:r w:rsidR="003C6858" w:rsidRPr="00710595">
        <w:rPr>
          <w:rFonts w:asciiTheme="majorHAnsi" w:hAnsiTheme="majorHAnsi" w:cs="Calibri"/>
          <w:sz w:val="28"/>
          <w:szCs w:val="22"/>
        </w:rPr>
        <w:t xml:space="preserve"> </w:t>
      </w:r>
      <w:r w:rsidR="001660B9" w:rsidRPr="00710595">
        <w:rPr>
          <w:rFonts w:asciiTheme="majorHAnsi" w:hAnsiTheme="majorHAnsi" w:cs="Calibri"/>
          <w:bCs/>
          <w:sz w:val="28"/>
          <w:szCs w:val="22"/>
        </w:rPr>
        <w:t>–</w:t>
      </w:r>
      <w:r w:rsidR="001660B9" w:rsidRPr="00710595">
        <w:rPr>
          <w:rFonts w:asciiTheme="majorHAnsi" w:hAnsiTheme="majorHAnsi" w:cs="Calibri"/>
          <w:b/>
          <w:bCs/>
          <w:sz w:val="28"/>
          <w:szCs w:val="22"/>
        </w:rPr>
        <w:t xml:space="preserve"> Agenda </w:t>
      </w:r>
    </w:p>
    <w:p w14:paraId="40527CFF" w14:textId="6720F4CC" w:rsidR="00875C88" w:rsidRPr="00710595" w:rsidRDefault="00875C88" w:rsidP="001660B9">
      <w:pPr>
        <w:jc w:val="center"/>
        <w:rPr>
          <w:rFonts w:asciiTheme="majorHAnsi" w:hAnsiTheme="majorHAnsi" w:cs="Calibri"/>
          <w:b/>
          <w:bCs/>
          <w:sz w:val="28"/>
          <w:szCs w:val="2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5"/>
        <w:gridCol w:w="604"/>
        <w:gridCol w:w="6204"/>
        <w:gridCol w:w="1302"/>
      </w:tblGrid>
      <w:tr w:rsidR="003C6858" w:rsidRPr="00710595" w14:paraId="28B9CF37" w14:textId="1BCA7641" w:rsidTr="00A064B4">
        <w:trPr>
          <w:trHeight w:val="70"/>
          <w:jc w:val="center"/>
        </w:trPr>
        <w:tc>
          <w:tcPr>
            <w:tcW w:w="9628" w:type="dxa"/>
            <w:gridSpan w:val="5"/>
            <w:shd w:val="clear" w:color="auto" w:fill="EEECE1" w:themeFill="background2"/>
            <w:vAlign w:val="center"/>
          </w:tcPr>
          <w:p w14:paraId="2E771051" w14:textId="05FB9D4A" w:rsidR="003C6858" w:rsidRPr="00710595" w:rsidRDefault="003C6858" w:rsidP="003C6858">
            <w:pPr>
              <w:pStyle w:val="Heading1"/>
              <w:jc w:val="center"/>
              <w:rPr>
                <w:rFonts w:asciiTheme="majorHAnsi" w:hAnsiTheme="majorHAnsi" w:cs="Calibri"/>
                <w:sz w:val="24"/>
                <w:szCs w:val="22"/>
              </w:rPr>
            </w:pPr>
            <w:r w:rsidRPr="00710595">
              <w:rPr>
                <w:rFonts w:asciiTheme="majorHAnsi" w:hAnsiTheme="majorHAnsi" w:cs="Calibri"/>
                <w:sz w:val="24"/>
                <w:szCs w:val="22"/>
              </w:rPr>
              <w:t>JOUR 1 R</w:t>
            </w:r>
            <w:r w:rsidR="00546991">
              <w:rPr>
                <w:rFonts w:asciiTheme="majorHAnsi" w:hAnsiTheme="majorHAnsi" w:cs="Calibri"/>
                <w:sz w:val="24"/>
                <w:szCs w:val="22"/>
              </w:rPr>
              <w:t>é</w:t>
            </w:r>
            <w:r w:rsidRPr="00710595">
              <w:rPr>
                <w:rFonts w:asciiTheme="majorHAnsi" w:hAnsiTheme="majorHAnsi" w:cs="Calibri"/>
                <w:sz w:val="24"/>
                <w:szCs w:val="22"/>
              </w:rPr>
              <w:t>form</w:t>
            </w:r>
            <w:r w:rsidR="00651CE1" w:rsidRPr="00710595">
              <w:rPr>
                <w:rFonts w:asciiTheme="majorHAnsi" w:hAnsiTheme="majorHAnsi" w:cs="Calibri"/>
                <w:sz w:val="24"/>
                <w:szCs w:val="22"/>
              </w:rPr>
              <w:t xml:space="preserve">e humanitaire, Agenda transformative et </w:t>
            </w:r>
            <w:r w:rsidRPr="00710595">
              <w:rPr>
                <w:rFonts w:asciiTheme="majorHAnsi" w:hAnsiTheme="majorHAnsi" w:cs="Calibri"/>
                <w:sz w:val="24"/>
                <w:szCs w:val="22"/>
              </w:rPr>
              <w:t>Approche cluster</w:t>
            </w:r>
          </w:p>
        </w:tc>
      </w:tr>
      <w:tr w:rsidR="00225BD0" w:rsidRPr="00710595" w14:paraId="2AB1FC2E" w14:textId="1DF4E14E" w:rsidTr="003C6858">
        <w:trPr>
          <w:trHeight w:val="170"/>
          <w:jc w:val="center"/>
        </w:trPr>
        <w:tc>
          <w:tcPr>
            <w:tcW w:w="1413" w:type="dxa"/>
            <w:vAlign w:val="center"/>
          </w:tcPr>
          <w:p w14:paraId="7DF85B87" w14:textId="01CE8B37" w:rsidR="00225BD0" w:rsidRPr="00710595" w:rsidRDefault="00225BD0" w:rsidP="0006387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0830 – 0930</w:t>
            </w:r>
          </w:p>
        </w:tc>
        <w:tc>
          <w:tcPr>
            <w:tcW w:w="709" w:type="dxa"/>
            <w:gridSpan w:val="2"/>
            <w:vAlign w:val="center"/>
          </w:tcPr>
          <w:p w14:paraId="3BDC3916" w14:textId="77777777" w:rsidR="00225BD0" w:rsidRPr="00710595" w:rsidRDefault="00225BD0" w:rsidP="00A12D4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1.1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0A86E254" w14:textId="147635D2" w:rsidR="00225BD0" w:rsidRPr="00710595" w:rsidRDefault="00225BD0" w:rsidP="0041502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Introduction </w:t>
            </w:r>
            <w:r w:rsidR="00415021" w:rsidRPr="00710595">
              <w:rPr>
                <w:rFonts w:asciiTheme="majorHAnsi" w:hAnsiTheme="majorHAnsi" w:cs="Calibri"/>
                <w:sz w:val="22"/>
                <w:szCs w:val="22"/>
              </w:rPr>
              <w:t>et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415021" w:rsidRPr="00710595">
              <w:rPr>
                <w:rFonts w:asciiTheme="majorHAnsi" w:hAnsiTheme="majorHAnsi" w:cs="Calibri"/>
                <w:sz w:val="22"/>
                <w:szCs w:val="22"/>
              </w:rPr>
              <w:t>normes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73A5621E" w14:textId="3EE9CE81" w:rsidR="00225BD0" w:rsidRPr="00710595" w:rsidRDefault="00225BD0" w:rsidP="00A12D4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 h</w:t>
            </w:r>
          </w:p>
        </w:tc>
      </w:tr>
      <w:tr w:rsidR="00225BD0" w:rsidRPr="00710595" w14:paraId="2550EFC6" w14:textId="3FC5611D" w:rsidTr="003C6858">
        <w:trPr>
          <w:jc w:val="center"/>
        </w:trPr>
        <w:tc>
          <w:tcPr>
            <w:tcW w:w="1413" w:type="dxa"/>
            <w:vAlign w:val="center"/>
          </w:tcPr>
          <w:p w14:paraId="7480E7EB" w14:textId="0D891694" w:rsidR="00225BD0" w:rsidRPr="00710595" w:rsidRDefault="00225BD0" w:rsidP="001C6B0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0930 – 0945</w:t>
            </w:r>
          </w:p>
        </w:tc>
        <w:tc>
          <w:tcPr>
            <w:tcW w:w="709" w:type="dxa"/>
            <w:gridSpan w:val="2"/>
            <w:vAlign w:val="center"/>
          </w:tcPr>
          <w:p w14:paraId="104E1B02" w14:textId="77777777" w:rsidR="00225BD0" w:rsidRPr="00710595" w:rsidRDefault="00225BD0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1.2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1F6EE04A" w14:textId="20CDCD11" w:rsidR="00225BD0" w:rsidRPr="00710595" w:rsidRDefault="00415021" w:rsidP="0054699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Le 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>Cluster</w:t>
            </w: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Nutrition et </w:t>
            </w:r>
            <w:r w:rsidR="00546991">
              <w:rPr>
                <w:rFonts w:asciiTheme="majorHAnsi" w:hAnsiTheme="majorHAnsi" w:cs="Calibri"/>
                <w:bCs/>
                <w:sz w:val="22"/>
                <w:szCs w:val="22"/>
              </w:rPr>
              <w:t>comment il s’inscrit dans le contexte national</w:t>
            </w: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  <w:shd w:val="clear" w:color="auto" w:fill="FFFFFF" w:themeFill="background1"/>
              </w:rPr>
              <w:t>(</w:t>
            </w:r>
            <w:r w:rsidRPr="00710595">
              <w:rPr>
                <w:rFonts w:asciiTheme="majorHAnsi" w:hAnsiTheme="majorHAnsi" w:cs="Calibri"/>
                <w:bCs/>
                <w:sz w:val="22"/>
                <w:szCs w:val="22"/>
                <w:shd w:val="clear" w:color="auto" w:fill="FFFFFF" w:themeFill="background1"/>
              </w:rPr>
              <w:t xml:space="preserve">facilitateur 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  <w:shd w:val="clear" w:color="auto" w:fill="FFFFFF" w:themeFill="background1"/>
              </w:rPr>
              <w:t>extern</w:t>
            </w:r>
            <w:r w:rsidRPr="00710595">
              <w:rPr>
                <w:rFonts w:asciiTheme="majorHAnsi" w:hAnsiTheme="majorHAnsi" w:cs="Calibri"/>
                <w:bCs/>
                <w:sz w:val="22"/>
                <w:szCs w:val="22"/>
                <w:shd w:val="clear" w:color="auto" w:fill="FFFFFF" w:themeFill="background1"/>
              </w:rPr>
              <w:t>e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1302" w:type="dxa"/>
            <w:vAlign w:val="center"/>
          </w:tcPr>
          <w:p w14:paraId="7B9F3213" w14:textId="74C7CF87" w:rsidR="00225BD0" w:rsidRPr="00710595" w:rsidRDefault="00225BD0" w:rsidP="00F3145A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15 min</w:t>
            </w:r>
          </w:p>
        </w:tc>
      </w:tr>
      <w:tr w:rsidR="00225BD0" w:rsidRPr="00710595" w14:paraId="66D653E8" w14:textId="2892F995" w:rsidTr="003C6858">
        <w:trPr>
          <w:jc w:val="center"/>
        </w:trPr>
        <w:tc>
          <w:tcPr>
            <w:tcW w:w="1413" w:type="dxa"/>
            <w:vAlign w:val="center"/>
          </w:tcPr>
          <w:p w14:paraId="643A2378" w14:textId="73B6604F" w:rsidR="00225BD0" w:rsidRPr="00710595" w:rsidRDefault="00D60A0F" w:rsidP="001C6B0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0945 – 1030</w:t>
            </w:r>
          </w:p>
        </w:tc>
        <w:tc>
          <w:tcPr>
            <w:tcW w:w="709" w:type="dxa"/>
            <w:gridSpan w:val="2"/>
            <w:vAlign w:val="center"/>
          </w:tcPr>
          <w:p w14:paraId="256FB0B3" w14:textId="09178A68" w:rsidR="00225BD0" w:rsidRPr="00710595" w:rsidRDefault="00225BD0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1.3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48DA9167" w14:textId="1240CCF6" w:rsidR="00225BD0" w:rsidRPr="00710595" w:rsidRDefault="00415021" w:rsidP="00B76882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La r</w:t>
            </w:r>
            <w:bookmarkStart w:id="0" w:name="_GoBack"/>
            <w:r w:rsidR="00546991" w:rsidRPr="00D7274C">
              <w:rPr>
                <w:rFonts w:asciiTheme="majorHAnsi" w:hAnsiTheme="majorHAnsi" w:cs="Calibri"/>
                <w:sz w:val="22"/>
                <w:szCs w:val="22"/>
              </w:rPr>
              <w:t>é</w:t>
            </w:r>
            <w:bookmarkEnd w:id="0"/>
            <w:r w:rsidRPr="00710595">
              <w:rPr>
                <w:rFonts w:asciiTheme="majorHAnsi" w:hAnsiTheme="majorHAnsi" w:cs="Calibri"/>
                <w:sz w:val="22"/>
                <w:szCs w:val="22"/>
              </w:rPr>
              <w:t>forme humanitaire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 xml:space="preserve">, 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>l’a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 xml:space="preserve">genda 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>transformati</w:t>
            </w:r>
            <w:r w:rsidR="00B76882" w:rsidRPr="00710595">
              <w:rPr>
                <w:rFonts w:asciiTheme="majorHAnsi" w:hAnsiTheme="majorHAnsi" w:cs="Calibri"/>
                <w:sz w:val="22"/>
                <w:szCs w:val="22"/>
              </w:rPr>
              <w:t xml:space="preserve">f 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>et l’approche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 xml:space="preserve"> Cluster </w:t>
            </w:r>
          </w:p>
        </w:tc>
        <w:tc>
          <w:tcPr>
            <w:tcW w:w="1302" w:type="dxa"/>
            <w:vAlign w:val="center"/>
          </w:tcPr>
          <w:p w14:paraId="0408F61C" w14:textId="78423D36" w:rsidR="00225BD0" w:rsidRPr="00710595" w:rsidRDefault="00D60A0F" w:rsidP="00F3145A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45 min</w:t>
            </w:r>
          </w:p>
        </w:tc>
      </w:tr>
      <w:tr w:rsidR="00225BD0" w:rsidRPr="00710595" w14:paraId="7DCAF7BD" w14:textId="505B3E60" w:rsidTr="003C6858">
        <w:trPr>
          <w:jc w:val="center"/>
        </w:trPr>
        <w:tc>
          <w:tcPr>
            <w:tcW w:w="1413" w:type="dxa"/>
            <w:shd w:val="clear" w:color="auto" w:fill="FDE9D9" w:themeFill="accent6" w:themeFillTint="33"/>
            <w:vAlign w:val="center"/>
          </w:tcPr>
          <w:p w14:paraId="2D0B55EC" w14:textId="556C01E9" w:rsidR="00225BD0" w:rsidRPr="00710595" w:rsidRDefault="00D60A0F" w:rsidP="00BB0F0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1030 – 1100</w:t>
            </w:r>
          </w:p>
        </w:tc>
        <w:tc>
          <w:tcPr>
            <w:tcW w:w="6913" w:type="dxa"/>
            <w:gridSpan w:val="3"/>
            <w:shd w:val="clear" w:color="auto" w:fill="FDE9D9" w:themeFill="accent6" w:themeFillTint="33"/>
            <w:vAlign w:val="center"/>
          </w:tcPr>
          <w:p w14:paraId="26EC1428" w14:textId="7729D10C" w:rsidR="00225BD0" w:rsidRPr="00710595" w:rsidRDefault="00415021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Pause 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shd w:val="clear" w:color="auto" w:fill="FDE9D9" w:themeFill="accent6" w:themeFillTint="33"/>
            <w:vAlign w:val="center"/>
          </w:tcPr>
          <w:p w14:paraId="49CDF8B4" w14:textId="62DF0C92" w:rsidR="00225BD0" w:rsidRPr="00710595" w:rsidRDefault="00225BD0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30 min</w:t>
            </w:r>
          </w:p>
        </w:tc>
      </w:tr>
      <w:tr w:rsidR="00225BD0" w:rsidRPr="00710595" w14:paraId="60598519" w14:textId="33C0CAC7" w:rsidTr="003C6858">
        <w:trPr>
          <w:jc w:val="center"/>
        </w:trPr>
        <w:tc>
          <w:tcPr>
            <w:tcW w:w="1413" w:type="dxa"/>
            <w:vAlign w:val="center"/>
          </w:tcPr>
          <w:p w14:paraId="6E8F1281" w14:textId="075A3F2B" w:rsidR="00225BD0" w:rsidRPr="00710595" w:rsidRDefault="00D60A0F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1100 – 1145</w:t>
            </w:r>
          </w:p>
        </w:tc>
        <w:tc>
          <w:tcPr>
            <w:tcW w:w="709" w:type="dxa"/>
            <w:gridSpan w:val="2"/>
            <w:vAlign w:val="center"/>
          </w:tcPr>
          <w:p w14:paraId="01C5E105" w14:textId="79BCA371" w:rsidR="00225BD0" w:rsidRPr="00710595" w:rsidRDefault="00225BD0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1.4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1F561D90" w14:textId="6E095A02" w:rsidR="00225BD0" w:rsidRPr="00710595" w:rsidRDefault="00225BD0" w:rsidP="0041502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Activation </w:t>
            </w:r>
            <w:r w:rsidR="00415021" w:rsidRPr="00710595">
              <w:rPr>
                <w:rFonts w:asciiTheme="majorHAnsi" w:hAnsiTheme="majorHAnsi" w:cs="Calibri"/>
                <w:bCs/>
                <w:sz w:val="22"/>
                <w:szCs w:val="22"/>
              </w:rPr>
              <w:t>et</w:t>
            </w:r>
            <w:r w:rsidR="00B76882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désactivation</w:t>
            </w: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="00415021" w:rsidRPr="00710595">
              <w:rPr>
                <w:rFonts w:asciiTheme="majorHAnsi" w:hAnsiTheme="majorHAnsi" w:cs="Calibri"/>
                <w:bCs/>
                <w:sz w:val="22"/>
                <w:szCs w:val="22"/>
              </w:rPr>
              <w:t>du</w:t>
            </w: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Cluster</w:t>
            </w:r>
          </w:p>
        </w:tc>
        <w:tc>
          <w:tcPr>
            <w:tcW w:w="1302" w:type="dxa"/>
            <w:vAlign w:val="center"/>
          </w:tcPr>
          <w:p w14:paraId="45B8DF40" w14:textId="26B185B2" w:rsidR="00225BD0" w:rsidRPr="00710595" w:rsidRDefault="00225BD0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45 min</w:t>
            </w:r>
          </w:p>
        </w:tc>
      </w:tr>
      <w:tr w:rsidR="00225BD0" w:rsidRPr="00710595" w14:paraId="7DCE76CE" w14:textId="797BE3F9" w:rsidTr="003C6858">
        <w:trPr>
          <w:jc w:val="center"/>
        </w:trPr>
        <w:tc>
          <w:tcPr>
            <w:tcW w:w="1413" w:type="dxa"/>
            <w:vAlign w:val="center"/>
          </w:tcPr>
          <w:p w14:paraId="270B8649" w14:textId="2F1841CF" w:rsidR="00225BD0" w:rsidRPr="00710595" w:rsidRDefault="00D60A0F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1145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 xml:space="preserve"> – 1230</w:t>
            </w:r>
          </w:p>
        </w:tc>
        <w:tc>
          <w:tcPr>
            <w:tcW w:w="709" w:type="dxa"/>
            <w:gridSpan w:val="2"/>
            <w:vAlign w:val="center"/>
          </w:tcPr>
          <w:p w14:paraId="002B7391" w14:textId="7CFCBD9D" w:rsidR="00225BD0" w:rsidRPr="00710595" w:rsidRDefault="00225BD0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1.5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1DFD3B5F" w14:textId="552E71DC" w:rsidR="00B76882" w:rsidRPr="00710595" w:rsidRDefault="00415021" w:rsidP="00B76882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  <w:shd w:val="clear" w:color="auto" w:fill="FFFFFF" w:themeFill="background1"/>
              </w:rPr>
              <w:t>Fonctions de base du Cluster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16DB801C" w14:textId="5B4BFDE5" w:rsidR="00225BD0" w:rsidRPr="00710595" w:rsidRDefault="00D60A0F" w:rsidP="00F3145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45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 xml:space="preserve"> min</w:t>
            </w:r>
          </w:p>
        </w:tc>
      </w:tr>
      <w:tr w:rsidR="00225BD0" w:rsidRPr="00710595" w14:paraId="5EE4BAA8" w14:textId="294EF9F9" w:rsidTr="003C6858">
        <w:trPr>
          <w:jc w:val="center"/>
        </w:trPr>
        <w:tc>
          <w:tcPr>
            <w:tcW w:w="1413" w:type="dxa"/>
            <w:shd w:val="clear" w:color="auto" w:fill="FDE9D9" w:themeFill="accent6" w:themeFillTint="33"/>
            <w:vAlign w:val="center"/>
          </w:tcPr>
          <w:p w14:paraId="23655A4F" w14:textId="5727AEE6" w:rsidR="00225BD0" w:rsidRPr="00710595" w:rsidRDefault="00225BD0" w:rsidP="00A12D4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1230 – 1330</w:t>
            </w:r>
          </w:p>
        </w:tc>
        <w:tc>
          <w:tcPr>
            <w:tcW w:w="6913" w:type="dxa"/>
            <w:gridSpan w:val="3"/>
            <w:shd w:val="clear" w:color="auto" w:fill="FDE9D9" w:themeFill="accent6" w:themeFillTint="33"/>
            <w:vAlign w:val="center"/>
          </w:tcPr>
          <w:p w14:paraId="024653DB" w14:textId="727D3006" w:rsidR="00225BD0" w:rsidRPr="00710595" w:rsidRDefault="00415021" w:rsidP="00A12D4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 xml:space="preserve">Repas </w:t>
            </w:r>
          </w:p>
        </w:tc>
        <w:tc>
          <w:tcPr>
            <w:tcW w:w="1302" w:type="dxa"/>
            <w:shd w:val="clear" w:color="auto" w:fill="FDE9D9" w:themeFill="accent6" w:themeFillTint="33"/>
            <w:vAlign w:val="center"/>
          </w:tcPr>
          <w:p w14:paraId="5F0BB327" w14:textId="2AA404EE" w:rsidR="00225BD0" w:rsidRPr="00710595" w:rsidRDefault="00225BD0" w:rsidP="00A12D4E">
            <w:pPr>
              <w:rPr>
                <w:rStyle w:val="hps"/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>1 h</w:t>
            </w:r>
          </w:p>
        </w:tc>
      </w:tr>
      <w:tr w:rsidR="00225BD0" w:rsidRPr="00710595" w14:paraId="4FDCFBD3" w14:textId="6E8FC461" w:rsidTr="003C6858">
        <w:trPr>
          <w:jc w:val="center"/>
        </w:trPr>
        <w:tc>
          <w:tcPr>
            <w:tcW w:w="1413" w:type="dxa"/>
            <w:vAlign w:val="center"/>
          </w:tcPr>
          <w:p w14:paraId="32BCA610" w14:textId="4A79B494" w:rsidR="00225BD0" w:rsidRPr="00710595" w:rsidRDefault="00225BD0" w:rsidP="006F21A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1330 – 1500</w:t>
            </w:r>
          </w:p>
        </w:tc>
        <w:tc>
          <w:tcPr>
            <w:tcW w:w="709" w:type="dxa"/>
            <w:gridSpan w:val="2"/>
            <w:vAlign w:val="center"/>
          </w:tcPr>
          <w:p w14:paraId="0A3B718F" w14:textId="05D4006A" w:rsidR="00225BD0" w:rsidRPr="00710595" w:rsidRDefault="00225BD0" w:rsidP="006F21A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1.6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258021D7" w14:textId="5850D699" w:rsidR="00225BD0" w:rsidRPr="00710595" w:rsidRDefault="00B76882" w:rsidP="0041502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Rôles et r</w:t>
            </w:r>
            <w:r w:rsidR="00415021" w:rsidRPr="00710595">
              <w:rPr>
                <w:rFonts w:asciiTheme="majorHAnsi" w:hAnsiTheme="majorHAnsi" w:cs="Calibri"/>
                <w:bCs/>
                <w:sz w:val="22"/>
                <w:szCs w:val="22"/>
              </w:rPr>
              <w:t>esponsabilités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="00415021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des acteurs du 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Cluster </w:t>
            </w:r>
          </w:p>
        </w:tc>
        <w:tc>
          <w:tcPr>
            <w:tcW w:w="1302" w:type="dxa"/>
            <w:vAlign w:val="center"/>
          </w:tcPr>
          <w:p w14:paraId="3F9EF2FF" w14:textId="39345FE0" w:rsidR="00225BD0" w:rsidRPr="00710595" w:rsidRDefault="003C6858" w:rsidP="006F21AE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1 h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30 min</w:t>
            </w:r>
          </w:p>
        </w:tc>
      </w:tr>
      <w:tr w:rsidR="00225BD0" w:rsidRPr="00710595" w14:paraId="6BF049CB" w14:textId="0D541F45" w:rsidTr="003C6858">
        <w:trPr>
          <w:trHeight w:val="228"/>
          <w:jc w:val="center"/>
        </w:trPr>
        <w:tc>
          <w:tcPr>
            <w:tcW w:w="1413" w:type="dxa"/>
            <w:shd w:val="clear" w:color="auto" w:fill="FDE9D9" w:themeFill="accent6" w:themeFillTint="33"/>
            <w:vAlign w:val="center"/>
          </w:tcPr>
          <w:p w14:paraId="09A4332F" w14:textId="7934679D" w:rsidR="00225BD0" w:rsidRPr="00710595" w:rsidRDefault="005B4089" w:rsidP="00BB0F0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1500 – 1530</w:t>
            </w:r>
          </w:p>
        </w:tc>
        <w:tc>
          <w:tcPr>
            <w:tcW w:w="6913" w:type="dxa"/>
            <w:gridSpan w:val="3"/>
            <w:shd w:val="clear" w:color="auto" w:fill="FDE9D9" w:themeFill="accent6" w:themeFillTint="33"/>
            <w:vAlign w:val="center"/>
          </w:tcPr>
          <w:p w14:paraId="7B4C46D2" w14:textId="17A56078" w:rsidR="00225BD0" w:rsidRPr="00710595" w:rsidRDefault="00415021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Pause </w:t>
            </w:r>
          </w:p>
        </w:tc>
        <w:tc>
          <w:tcPr>
            <w:tcW w:w="1302" w:type="dxa"/>
            <w:shd w:val="clear" w:color="auto" w:fill="FDE9D9" w:themeFill="accent6" w:themeFillTint="33"/>
            <w:vAlign w:val="center"/>
          </w:tcPr>
          <w:p w14:paraId="3845E1B2" w14:textId="6C806B82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30 min</w:t>
            </w:r>
          </w:p>
        </w:tc>
      </w:tr>
      <w:tr w:rsidR="00225BD0" w:rsidRPr="00710595" w14:paraId="1C46E5ED" w14:textId="13FC5BDD" w:rsidTr="003C6858">
        <w:trPr>
          <w:jc w:val="center"/>
        </w:trPr>
        <w:tc>
          <w:tcPr>
            <w:tcW w:w="1413" w:type="dxa"/>
            <w:vAlign w:val="center"/>
          </w:tcPr>
          <w:p w14:paraId="0C563FFE" w14:textId="4D2AFF36" w:rsidR="00225BD0" w:rsidRPr="00710595" w:rsidRDefault="005B4089" w:rsidP="005B4089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1530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 xml:space="preserve"> - 1630</w:t>
            </w:r>
          </w:p>
        </w:tc>
        <w:tc>
          <w:tcPr>
            <w:tcW w:w="709" w:type="dxa"/>
            <w:gridSpan w:val="2"/>
            <w:vAlign w:val="center"/>
          </w:tcPr>
          <w:p w14:paraId="63E1BBA7" w14:textId="79A5FF46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1.7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65E8E157" w14:textId="7D85CC5A" w:rsidR="00225BD0" w:rsidRPr="00710595" w:rsidRDefault="00415021" w:rsidP="00415021">
            <w:pPr>
              <w:rPr>
                <w:rFonts w:asciiTheme="majorHAnsi" w:hAnsiTheme="majorHAnsi" w:cs="Calibri"/>
                <w:bCs/>
                <w:i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Engagement m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inimum </w:t>
            </w: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pour la p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articipation </w:t>
            </w: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au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Cluster</w:t>
            </w:r>
          </w:p>
        </w:tc>
        <w:tc>
          <w:tcPr>
            <w:tcW w:w="1302" w:type="dxa"/>
            <w:vAlign w:val="center"/>
          </w:tcPr>
          <w:p w14:paraId="3219A11F" w14:textId="2043965A" w:rsidR="00225BD0" w:rsidRPr="00710595" w:rsidRDefault="005B4089" w:rsidP="006206AF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6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>0 min</w:t>
            </w:r>
          </w:p>
        </w:tc>
      </w:tr>
      <w:tr w:rsidR="00225BD0" w:rsidRPr="00710595" w14:paraId="324D5769" w14:textId="30F8BE8B" w:rsidTr="003C6858">
        <w:trPr>
          <w:jc w:val="center"/>
        </w:trPr>
        <w:tc>
          <w:tcPr>
            <w:tcW w:w="1413" w:type="dxa"/>
            <w:vAlign w:val="center"/>
          </w:tcPr>
          <w:p w14:paraId="006EF04E" w14:textId="3F7CACD6" w:rsidR="00225BD0" w:rsidRPr="00710595" w:rsidRDefault="00225BD0" w:rsidP="00A12D4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1630 – 1700</w:t>
            </w:r>
          </w:p>
        </w:tc>
        <w:tc>
          <w:tcPr>
            <w:tcW w:w="709" w:type="dxa"/>
            <w:gridSpan w:val="2"/>
            <w:vAlign w:val="center"/>
          </w:tcPr>
          <w:p w14:paraId="3B058C9F" w14:textId="77777777" w:rsidR="00225BD0" w:rsidRPr="00710595" w:rsidRDefault="00225BD0" w:rsidP="00A12D4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1.8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5EF070A6" w14:textId="67B1B5AE" w:rsidR="00225BD0" w:rsidRPr="00710595" w:rsidRDefault="005B4089" w:rsidP="0041502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Introduction </w:t>
            </w:r>
            <w:r w:rsidR="00415021" w:rsidRPr="00710595">
              <w:rPr>
                <w:rFonts w:asciiTheme="majorHAnsi" w:hAnsiTheme="majorHAnsi" w:cs="Calibri"/>
                <w:sz w:val="22"/>
                <w:szCs w:val="22"/>
              </w:rPr>
              <w:t>au Cycle de Programme H</w:t>
            </w:r>
            <w:r w:rsidR="00415021" w:rsidRPr="00710595">
              <w:rPr>
                <w:rStyle w:val="hps"/>
                <w:rFonts w:asciiTheme="majorHAnsi" w:hAnsiTheme="majorHAnsi"/>
                <w:sz w:val="22"/>
                <w:szCs w:val="22"/>
              </w:rPr>
              <w:t>umanitaire</w:t>
            </w:r>
            <w:r w:rsidRPr="00710595">
              <w:rPr>
                <w:rStyle w:val="hps"/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491E8125" w14:textId="77777777" w:rsidR="00225BD0" w:rsidRPr="00710595" w:rsidRDefault="00225BD0" w:rsidP="00A12D4E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30 min</w:t>
            </w:r>
          </w:p>
        </w:tc>
      </w:tr>
      <w:tr w:rsidR="00225BD0" w:rsidRPr="00710595" w14:paraId="3B351DD2" w14:textId="4CA97C59" w:rsidTr="003C6858">
        <w:trPr>
          <w:jc w:val="center"/>
        </w:trPr>
        <w:tc>
          <w:tcPr>
            <w:tcW w:w="1413" w:type="dxa"/>
            <w:vAlign w:val="center"/>
          </w:tcPr>
          <w:p w14:paraId="0EA2C5B5" w14:textId="0D77194A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1700 – 1730</w:t>
            </w:r>
          </w:p>
        </w:tc>
        <w:tc>
          <w:tcPr>
            <w:tcW w:w="709" w:type="dxa"/>
            <w:gridSpan w:val="2"/>
            <w:vAlign w:val="center"/>
          </w:tcPr>
          <w:p w14:paraId="1587661B" w14:textId="35A1FEFA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0664D9E0" w14:textId="5B03AD4B" w:rsidR="00225BD0" w:rsidRPr="00710595" w:rsidRDefault="00546991" w:rsidP="006206AF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É</w:t>
            </w:r>
            <w:r w:rsidR="00415021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valuation de la première journée </w:t>
            </w:r>
          </w:p>
        </w:tc>
        <w:tc>
          <w:tcPr>
            <w:tcW w:w="1302" w:type="dxa"/>
            <w:vAlign w:val="center"/>
          </w:tcPr>
          <w:p w14:paraId="66072576" w14:textId="77777777" w:rsidR="00225BD0" w:rsidRPr="00710595" w:rsidRDefault="00225BD0" w:rsidP="006206AF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30 min</w:t>
            </w:r>
          </w:p>
        </w:tc>
      </w:tr>
      <w:tr w:rsidR="003C6858" w:rsidRPr="00710595" w14:paraId="632985F1" w14:textId="2EC219B9" w:rsidTr="00A064B4">
        <w:trPr>
          <w:jc w:val="center"/>
        </w:trPr>
        <w:tc>
          <w:tcPr>
            <w:tcW w:w="9628" w:type="dxa"/>
            <w:gridSpan w:val="5"/>
            <w:shd w:val="clear" w:color="auto" w:fill="EEECE1" w:themeFill="background2"/>
            <w:vAlign w:val="center"/>
          </w:tcPr>
          <w:p w14:paraId="66659C49" w14:textId="73826E9B" w:rsidR="003C6858" w:rsidRPr="00710595" w:rsidRDefault="003C6858" w:rsidP="006206AF">
            <w:pPr>
              <w:pStyle w:val="Heading1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4"/>
                <w:szCs w:val="22"/>
              </w:rPr>
              <w:t xml:space="preserve">JOUR 2 – Le </w:t>
            </w:r>
            <w:r w:rsidRPr="00710595">
              <w:rPr>
                <w:rStyle w:val="hps"/>
                <w:rFonts w:asciiTheme="majorHAnsi" w:hAnsiTheme="majorHAnsi"/>
                <w:sz w:val="24"/>
                <w:szCs w:val="22"/>
              </w:rPr>
              <w:t xml:space="preserve"> Cycle de Programme Humanitaire</w:t>
            </w:r>
            <w:r w:rsidR="00B76882" w:rsidRPr="00710595">
              <w:rPr>
                <w:rStyle w:val="hps"/>
                <w:rFonts w:asciiTheme="majorHAnsi" w:hAnsiTheme="majorHAnsi"/>
                <w:sz w:val="24"/>
                <w:szCs w:val="22"/>
              </w:rPr>
              <w:t xml:space="preserve"> (CPH)</w:t>
            </w:r>
          </w:p>
        </w:tc>
      </w:tr>
      <w:tr w:rsidR="00225BD0" w:rsidRPr="00710595" w14:paraId="3F48802E" w14:textId="273C7442" w:rsidTr="003C6858">
        <w:trPr>
          <w:trHeight w:val="307"/>
          <w:jc w:val="center"/>
        </w:trPr>
        <w:tc>
          <w:tcPr>
            <w:tcW w:w="1518" w:type="dxa"/>
            <w:gridSpan w:val="2"/>
            <w:vAlign w:val="center"/>
          </w:tcPr>
          <w:p w14:paraId="4B045E32" w14:textId="36B3DDB3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0830 – 0900</w:t>
            </w:r>
          </w:p>
        </w:tc>
        <w:tc>
          <w:tcPr>
            <w:tcW w:w="604" w:type="dxa"/>
            <w:vAlign w:val="center"/>
          </w:tcPr>
          <w:p w14:paraId="019E705F" w14:textId="77777777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6204" w:type="dxa"/>
            <w:vAlign w:val="center"/>
          </w:tcPr>
          <w:p w14:paraId="36499593" w14:textId="034C8E3C" w:rsidR="00225BD0" w:rsidRPr="00710595" w:rsidRDefault="00225BD0" w:rsidP="0041502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 xml:space="preserve">Quiz </w:t>
            </w:r>
            <w:r w:rsidR="00415021"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>par et pour les</w:t>
            </w:r>
            <w:r w:rsidR="003C6858"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 xml:space="preserve"> participants et</w:t>
            </w: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710595">
              <w:rPr>
                <w:rStyle w:val="shorttext"/>
                <w:rFonts w:asciiTheme="majorHAnsi" w:hAnsiTheme="majorHAnsi" w:cs="Calibri"/>
                <w:sz w:val="22"/>
                <w:szCs w:val="22"/>
              </w:rPr>
              <w:t xml:space="preserve">feedback </w:t>
            </w:r>
            <w:r w:rsidR="00415021" w:rsidRPr="00710595">
              <w:rPr>
                <w:rStyle w:val="shorttext"/>
                <w:rFonts w:asciiTheme="majorHAnsi" w:hAnsiTheme="majorHAnsi" w:cs="Calibri"/>
                <w:sz w:val="22"/>
                <w:szCs w:val="22"/>
              </w:rPr>
              <w:t xml:space="preserve">de l’évaluation de la  première journée </w:t>
            </w:r>
          </w:p>
        </w:tc>
        <w:tc>
          <w:tcPr>
            <w:tcW w:w="1302" w:type="dxa"/>
            <w:vAlign w:val="center"/>
          </w:tcPr>
          <w:p w14:paraId="3FFBF08F" w14:textId="46628EF7" w:rsidR="00225BD0" w:rsidRPr="00710595" w:rsidRDefault="00225BD0" w:rsidP="006206AF">
            <w:pPr>
              <w:rPr>
                <w:rStyle w:val="hps"/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>30 min</w:t>
            </w:r>
          </w:p>
        </w:tc>
      </w:tr>
      <w:tr w:rsidR="00225BD0" w:rsidRPr="00710595" w14:paraId="0D74788A" w14:textId="4D786D88" w:rsidTr="003C6858">
        <w:trPr>
          <w:jc w:val="center"/>
        </w:trPr>
        <w:tc>
          <w:tcPr>
            <w:tcW w:w="1518" w:type="dxa"/>
            <w:gridSpan w:val="2"/>
            <w:vAlign w:val="center"/>
          </w:tcPr>
          <w:p w14:paraId="5B6A4392" w14:textId="5ECA02B1" w:rsidR="00225BD0" w:rsidRPr="00710595" w:rsidRDefault="007A7D7C" w:rsidP="0080194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0900 – </w:t>
            </w:r>
            <w:r w:rsidR="00801946" w:rsidRPr="00710595">
              <w:rPr>
                <w:rFonts w:asciiTheme="majorHAnsi" w:hAnsiTheme="majorHAnsi" w:cs="Calibri"/>
                <w:sz w:val="22"/>
                <w:szCs w:val="22"/>
              </w:rPr>
              <w:t>0945</w:t>
            </w:r>
          </w:p>
        </w:tc>
        <w:tc>
          <w:tcPr>
            <w:tcW w:w="604" w:type="dxa"/>
            <w:vAlign w:val="center"/>
          </w:tcPr>
          <w:p w14:paraId="16AF103C" w14:textId="77777777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50E7941" w14:textId="3FAB2CA8" w:rsidR="00225BD0" w:rsidRPr="00710595" w:rsidRDefault="00415021" w:rsidP="00956F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Préparation aux urgences </w:t>
            </w:r>
            <w:r w:rsidR="007A7D7C" w:rsidRPr="00710595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225BD0" w:rsidRPr="00710595">
              <w:rPr>
                <w:rStyle w:val="hps"/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1302" w:type="dxa"/>
            <w:vAlign w:val="center"/>
          </w:tcPr>
          <w:p w14:paraId="274E99F1" w14:textId="14445FB8" w:rsidR="00225BD0" w:rsidRPr="00710595" w:rsidRDefault="00801946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45 min</w:t>
            </w:r>
          </w:p>
        </w:tc>
      </w:tr>
      <w:tr w:rsidR="00225BD0" w:rsidRPr="00710595" w14:paraId="07C30A9C" w14:textId="72649867" w:rsidTr="003C6858">
        <w:trPr>
          <w:jc w:val="center"/>
        </w:trPr>
        <w:tc>
          <w:tcPr>
            <w:tcW w:w="1518" w:type="dxa"/>
            <w:gridSpan w:val="2"/>
            <w:vAlign w:val="center"/>
          </w:tcPr>
          <w:p w14:paraId="17C2CB6D" w14:textId="2E8639E6" w:rsidR="00225BD0" w:rsidRPr="00710595" w:rsidRDefault="00801946" w:rsidP="00956F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0945</w:t>
            </w:r>
            <w:r w:rsidR="007A7D7C" w:rsidRPr="00710595">
              <w:rPr>
                <w:rFonts w:asciiTheme="majorHAnsi" w:hAnsiTheme="majorHAnsi" w:cs="Calibri"/>
                <w:sz w:val="22"/>
                <w:szCs w:val="22"/>
              </w:rPr>
              <w:t xml:space="preserve"> –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 1045</w:t>
            </w:r>
          </w:p>
        </w:tc>
        <w:tc>
          <w:tcPr>
            <w:tcW w:w="604" w:type="dxa"/>
            <w:vAlign w:val="center"/>
          </w:tcPr>
          <w:p w14:paraId="2702D94F" w14:textId="58BC72B9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2.2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35774D5" w14:textId="71D2F529" w:rsidR="00225BD0" w:rsidRPr="00710595" w:rsidRDefault="00415021" w:rsidP="00956F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Evaluation</w:t>
            </w:r>
            <w:r w:rsidR="00B76882" w:rsidRPr="00710595">
              <w:rPr>
                <w:rFonts w:asciiTheme="majorHAnsi" w:hAnsiTheme="majorHAnsi" w:cs="Calibri"/>
                <w:sz w:val="22"/>
                <w:szCs w:val="22"/>
              </w:rPr>
              <w:t>s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 de besoins </w:t>
            </w:r>
          </w:p>
        </w:tc>
        <w:tc>
          <w:tcPr>
            <w:tcW w:w="1302" w:type="dxa"/>
            <w:vAlign w:val="center"/>
          </w:tcPr>
          <w:p w14:paraId="3D29CDA5" w14:textId="1E18BFE2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 h</w:t>
            </w:r>
          </w:p>
        </w:tc>
      </w:tr>
      <w:tr w:rsidR="00225BD0" w:rsidRPr="00710595" w14:paraId="42F837A1" w14:textId="29125CED" w:rsidTr="003C6858">
        <w:trPr>
          <w:jc w:val="center"/>
        </w:trPr>
        <w:tc>
          <w:tcPr>
            <w:tcW w:w="1518" w:type="dxa"/>
            <w:gridSpan w:val="2"/>
            <w:shd w:val="clear" w:color="auto" w:fill="FDE9D9" w:themeFill="accent6" w:themeFillTint="33"/>
            <w:vAlign w:val="center"/>
          </w:tcPr>
          <w:p w14:paraId="4840EC45" w14:textId="03BE35B0" w:rsidR="00225BD0" w:rsidRPr="00710595" w:rsidRDefault="00801946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1045 – 1115</w:t>
            </w:r>
          </w:p>
        </w:tc>
        <w:tc>
          <w:tcPr>
            <w:tcW w:w="6808" w:type="dxa"/>
            <w:gridSpan w:val="2"/>
            <w:shd w:val="clear" w:color="auto" w:fill="FDE9D9" w:themeFill="accent6" w:themeFillTint="33"/>
            <w:vAlign w:val="center"/>
          </w:tcPr>
          <w:p w14:paraId="7DB4FE5C" w14:textId="19B9136A" w:rsidR="00225BD0" w:rsidRPr="00710595" w:rsidRDefault="00415021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Pause </w:t>
            </w:r>
          </w:p>
        </w:tc>
        <w:tc>
          <w:tcPr>
            <w:tcW w:w="1302" w:type="dxa"/>
            <w:shd w:val="clear" w:color="auto" w:fill="FDE9D9" w:themeFill="accent6" w:themeFillTint="33"/>
            <w:vAlign w:val="center"/>
          </w:tcPr>
          <w:p w14:paraId="238F13D2" w14:textId="03144C19" w:rsidR="00225BD0" w:rsidRPr="00710595" w:rsidRDefault="00801946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="00225BD0" w:rsidRPr="00710595">
              <w:rPr>
                <w:rFonts w:asciiTheme="majorHAnsi" w:hAnsiTheme="majorHAnsi" w:cs="Calibri"/>
                <w:sz w:val="22"/>
                <w:szCs w:val="22"/>
              </w:rPr>
              <w:t>0 min</w:t>
            </w:r>
          </w:p>
        </w:tc>
      </w:tr>
      <w:tr w:rsidR="00225BD0" w:rsidRPr="00710595" w14:paraId="348DDA81" w14:textId="17ED1022" w:rsidTr="003C6858">
        <w:trPr>
          <w:jc w:val="center"/>
        </w:trPr>
        <w:tc>
          <w:tcPr>
            <w:tcW w:w="1518" w:type="dxa"/>
            <w:gridSpan w:val="2"/>
            <w:vAlign w:val="center"/>
          </w:tcPr>
          <w:p w14:paraId="477AFB3F" w14:textId="6EA8B949" w:rsidR="00225BD0" w:rsidRPr="00710595" w:rsidRDefault="002902B9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1115 – 120</w:t>
            </w:r>
            <w:r w:rsidR="00801946" w:rsidRPr="0071059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604" w:type="dxa"/>
            <w:vAlign w:val="center"/>
          </w:tcPr>
          <w:p w14:paraId="54057EF8" w14:textId="7465D5B0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1E4DD30" w14:textId="33C499EA" w:rsidR="00225BD0" w:rsidRPr="00710595" w:rsidRDefault="00415021" w:rsidP="003C685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Planific</w:t>
            </w:r>
            <w:r w:rsidR="003C6858" w:rsidRPr="00710595">
              <w:rPr>
                <w:rFonts w:asciiTheme="majorHAnsi" w:hAnsiTheme="majorHAnsi" w:cs="Calibri"/>
                <w:sz w:val="22"/>
                <w:szCs w:val="22"/>
              </w:rPr>
              <w:t xml:space="preserve">ation Stratégique de la Réponse </w:t>
            </w:r>
          </w:p>
        </w:tc>
        <w:tc>
          <w:tcPr>
            <w:tcW w:w="1302" w:type="dxa"/>
            <w:vAlign w:val="center"/>
          </w:tcPr>
          <w:p w14:paraId="74066642" w14:textId="17CA856F" w:rsidR="00225BD0" w:rsidRPr="00710595" w:rsidRDefault="00801946" w:rsidP="006206AF">
            <w:pPr>
              <w:rPr>
                <w:rStyle w:val="hps"/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>45 min</w:t>
            </w:r>
          </w:p>
        </w:tc>
      </w:tr>
      <w:tr w:rsidR="00225BD0" w:rsidRPr="00710595" w14:paraId="34493286" w14:textId="5554A78E" w:rsidTr="003C6858">
        <w:trPr>
          <w:trHeight w:val="539"/>
          <w:jc w:val="center"/>
        </w:trPr>
        <w:tc>
          <w:tcPr>
            <w:tcW w:w="1518" w:type="dxa"/>
            <w:gridSpan w:val="2"/>
            <w:vAlign w:val="center"/>
          </w:tcPr>
          <w:p w14:paraId="41044953" w14:textId="4BC58BAA" w:rsidR="00225BD0" w:rsidRPr="00710595" w:rsidRDefault="002902B9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1200 – 1300 </w:t>
            </w:r>
          </w:p>
        </w:tc>
        <w:tc>
          <w:tcPr>
            <w:tcW w:w="604" w:type="dxa"/>
            <w:vAlign w:val="center"/>
          </w:tcPr>
          <w:p w14:paraId="5C7DD369" w14:textId="5B9AFAC4" w:rsidR="00225BD0" w:rsidRPr="00710595" w:rsidRDefault="00225BD0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2245050" w14:textId="371BEB5E" w:rsidR="00225BD0" w:rsidRPr="00710595" w:rsidRDefault="003C6858" w:rsidP="00B76882">
            <w:pPr>
              <w:rPr>
                <w:rStyle w:val="hps"/>
                <w:rFonts w:asciiTheme="majorHAnsi" w:hAnsiTheme="majorHAns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/>
                <w:sz w:val="22"/>
                <w:szCs w:val="22"/>
              </w:rPr>
              <w:t>M</w:t>
            </w:r>
            <w:r w:rsidR="00225BD0" w:rsidRPr="00710595">
              <w:rPr>
                <w:rStyle w:val="hps"/>
                <w:rFonts w:asciiTheme="majorHAnsi" w:hAnsiTheme="majorHAnsi"/>
                <w:sz w:val="22"/>
                <w:szCs w:val="22"/>
              </w:rPr>
              <w:t>obilisation</w:t>
            </w:r>
            <w:r w:rsidRPr="00710595">
              <w:rPr>
                <w:rStyle w:val="hps"/>
                <w:rFonts w:asciiTheme="majorHAnsi" w:hAnsiTheme="majorHAnsi"/>
                <w:sz w:val="22"/>
                <w:szCs w:val="22"/>
              </w:rPr>
              <w:t xml:space="preserve"> de</w:t>
            </w:r>
            <w:r w:rsidR="00546991">
              <w:rPr>
                <w:rStyle w:val="hps"/>
                <w:rFonts w:asciiTheme="majorHAnsi" w:hAnsiTheme="majorHAnsi"/>
                <w:sz w:val="22"/>
                <w:szCs w:val="22"/>
              </w:rPr>
              <w:t>s</w:t>
            </w:r>
            <w:r w:rsidRPr="00710595">
              <w:rPr>
                <w:rStyle w:val="hps"/>
                <w:rFonts w:asciiTheme="majorHAnsi" w:hAnsiTheme="majorHAnsi"/>
                <w:sz w:val="22"/>
                <w:szCs w:val="22"/>
              </w:rPr>
              <w:t xml:space="preserve"> ressources</w:t>
            </w:r>
            <w:r w:rsidR="00B76882" w:rsidRPr="00710595">
              <w:rPr>
                <w:rStyle w:val="hps"/>
                <w:rFonts w:asciiTheme="majorHAnsi" w:hAnsiTheme="majorHAnsi"/>
                <w:sz w:val="22"/>
                <w:szCs w:val="22"/>
              </w:rPr>
              <w:t xml:space="preserve"> </w:t>
            </w:r>
            <w:r w:rsidR="00225BD0" w:rsidRPr="00710595">
              <w:rPr>
                <w:rStyle w:val="hps"/>
                <w:rFonts w:asciiTheme="majorHAnsi" w:hAnsiTheme="majorHAnsi"/>
                <w:sz w:val="22"/>
                <w:szCs w:val="22"/>
              </w:rPr>
              <w:t>: Finance</w:t>
            </w:r>
            <w:r w:rsidRPr="00710595">
              <w:rPr>
                <w:rStyle w:val="hps"/>
                <w:rFonts w:asciiTheme="majorHAnsi" w:hAnsiTheme="majorHAnsi"/>
                <w:sz w:val="22"/>
                <w:szCs w:val="22"/>
              </w:rPr>
              <w:t>s</w:t>
            </w:r>
            <w:r w:rsidR="00225BD0" w:rsidRPr="00710595">
              <w:rPr>
                <w:rStyle w:val="hps"/>
                <w:rFonts w:asciiTheme="majorHAnsi" w:hAnsiTheme="majorHAnsi"/>
                <w:sz w:val="22"/>
                <w:szCs w:val="22"/>
              </w:rPr>
              <w:t xml:space="preserve">, </w:t>
            </w:r>
            <w:r w:rsidRPr="00710595">
              <w:rPr>
                <w:rStyle w:val="hps"/>
                <w:rFonts w:asciiTheme="majorHAnsi" w:hAnsiTheme="majorHAnsi"/>
                <w:sz w:val="22"/>
                <w:szCs w:val="22"/>
              </w:rPr>
              <w:t xml:space="preserve">Ressources </w:t>
            </w:r>
            <w:r w:rsidR="00546991">
              <w:rPr>
                <w:rStyle w:val="hps"/>
                <w:rFonts w:asciiTheme="majorHAnsi" w:hAnsiTheme="majorHAnsi"/>
                <w:sz w:val="22"/>
                <w:szCs w:val="22"/>
              </w:rPr>
              <w:t>H</w:t>
            </w:r>
            <w:r w:rsidRPr="00710595">
              <w:rPr>
                <w:rStyle w:val="hps"/>
                <w:rFonts w:asciiTheme="majorHAnsi" w:hAnsiTheme="majorHAnsi"/>
                <w:sz w:val="22"/>
                <w:szCs w:val="22"/>
              </w:rPr>
              <w:t xml:space="preserve">umaines et Approvisionnement </w:t>
            </w:r>
          </w:p>
        </w:tc>
        <w:tc>
          <w:tcPr>
            <w:tcW w:w="1302" w:type="dxa"/>
            <w:vAlign w:val="center"/>
          </w:tcPr>
          <w:p w14:paraId="2629FFDB" w14:textId="328B4FB9" w:rsidR="00225BD0" w:rsidRPr="00710595" w:rsidRDefault="002902B9" w:rsidP="006206AF">
            <w:pPr>
              <w:rPr>
                <w:rStyle w:val="hps"/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>60</w:t>
            </w:r>
            <w:r w:rsidR="00225BD0"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 xml:space="preserve"> min</w:t>
            </w:r>
          </w:p>
        </w:tc>
      </w:tr>
      <w:tr w:rsidR="00225BD0" w:rsidRPr="00710595" w14:paraId="3CC24493" w14:textId="1EF1C5DC" w:rsidTr="003C6858">
        <w:trPr>
          <w:jc w:val="center"/>
        </w:trPr>
        <w:tc>
          <w:tcPr>
            <w:tcW w:w="1518" w:type="dxa"/>
            <w:gridSpan w:val="2"/>
            <w:shd w:val="clear" w:color="auto" w:fill="FDE9D9" w:themeFill="accent6" w:themeFillTint="33"/>
            <w:vAlign w:val="center"/>
          </w:tcPr>
          <w:p w14:paraId="772420D5" w14:textId="74094155" w:rsidR="00225BD0" w:rsidRPr="00710595" w:rsidRDefault="002902B9" w:rsidP="00F40C5D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1300 – 1400 </w:t>
            </w:r>
          </w:p>
        </w:tc>
        <w:tc>
          <w:tcPr>
            <w:tcW w:w="6808" w:type="dxa"/>
            <w:gridSpan w:val="2"/>
            <w:shd w:val="clear" w:color="auto" w:fill="FDE9D9" w:themeFill="accent6" w:themeFillTint="33"/>
            <w:vAlign w:val="center"/>
          </w:tcPr>
          <w:p w14:paraId="400C89A2" w14:textId="5B38F9A6" w:rsidR="00225BD0" w:rsidRPr="00710595" w:rsidRDefault="003C6858" w:rsidP="006206A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 xml:space="preserve">Repas </w:t>
            </w:r>
          </w:p>
        </w:tc>
        <w:tc>
          <w:tcPr>
            <w:tcW w:w="1302" w:type="dxa"/>
            <w:shd w:val="clear" w:color="auto" w:fill="FDE9D9" w:themeFill="accent6" w:themeFillTint="33"/>
            <w:vAlign w:val="center"/>
          </w:tcPr>
          <w:p w14:paraId="3C08E83D" w14:textId="294EE3BA" w:rsidR="00225BD0" w:rsidRPr="00710595" w:rsidRDefault="00225BD0" w:rsidP="006206AF">
            <w:pPr>
              <w:rPr>
                <w:rStyle w:val="hps"/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>1 h</w:t>
            </w:r>
          </w:p>
        </w:tc>
      </w:tr>
      <w:tr w:rsidR="00225BD0" w:rsidRPr="00710595" w14:paraId="7D07E2C8" w14:textId="08231DAD" w:rsidTr="003C6858">
        <w:trPr>
          <w:jc w:val="center"/>
        </w:trPr>
        <w:tc>
          <w:tcPr>
            <w:tcW w:w="1518" w:type="dxa"/>
            <w:gridSpan w:val="2"/>
            <w:vAlign w:val="center"/>
          </w:tcPr>
          <w:p w14:paraId="03CDA222" w14:textId="0F09F339" w:rsidR="00225BD0" w:rsidRPr="00710595" w:rsidRDefault="00E16B88" w:rsidP="00CE69D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1400 – </w:t>
            </w:r>
            <w:r w:rsidR="00CE69D7" w:rsidRPr="00710595">
              <w:rPr>
                <w:rFonts w:asciiTheme="majorHAnsi" w:hAnsiTheme="majorHAnsi" w:cs="Calibri"/>
                <w:sz w:val="22"/>
                <w:szCs w:val="22"/>
              </w:rPr>
              <w:t>1500</w:t>
            </w:r>
          </w:p>
        </w:tc>
        <w:tc>
          <w:tcPr>
            <w:tcW w:w="604" w:type="dxa"/>
            <w:vAlign w:val="center"/>
          </w:tcPr>
          <w:p w14:paraId="02D1A6F5" w14:textId="20623578" w:rsidR="00225BD0" w:rsidRPr="00710595" w:rsidRDefault="00225BD0" w:rsidP="003473C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2.</w:t>
            </w:r>
            <w:r w:rsidR="002902B9" w:rsidRPr="00710595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FFEA5BF" w14:textId="1F70E70A" w:rsidR="00225BD0" w:rsidRPr="00710595" w:rsidRDefault="003C6858" w:rsidP="00B76882">
            <w:pPr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Mise en œuvre</w:t>
            </w:r>
            <w:r w:rsidR="00A064B4" w:rsidRPr="00710595">
              <w:rPr>
                <w:rFonts w:asciiTheme="majorHAnsi" w:hAnsiTheme="majorHAnsi" w:cs="Calibri"/>
                <w:sz w:val="22"/>
                <w:szCs w:val="22"/>
              </w:rPr>
              <w:t xml:space="preserve"> et</w:t>
            </w:r>
            <w:r w:rsidR="00B76882" w:rsidRPr="00710595">
              <w:rPr>
                <w:rFonts w:asciiTheme="majorHAnsi" w:hAnsiTheme="majorHAnsi" w:cs="Calibri"/>
                <w:sz w:val="22"/>
                <w:szCs w:val="22"/>
              </w:rPr>
              <w:t xml:space="preserve"> Suivi</w:t>
            </w:r>
          </w:p>
        </w:tc>
        <w:tc>
          <w:tcPr>
            <w:tcW w:w="1302" w:type="dxa"/>
            <w:vAlign w:val="center"/>
          </w:tcPr>
          <w:p w14:paraId="272978B1" w14:textId="7F6EB953" w:rsidR="00225BD0" w:rsidRPr="00710595" w:rsidRDefault="00CE69D7" w:rsidP="0092497B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 h</w:t>
            </w:r>
          </w:p>
        </w:tc>
      </w:tr>
      <w:tr w:rsidR="00225BD0" w:rsidRPr="00710595" w14:paraId="2DE2F234" w14:textId="298E07CA" w:rsidTr="003C6858">
        <w:trPr>
          <w:jc w:val="center"/>
        </w:trPr>
        <w:tc>
          <w:tcPr>
            <w:tcW w:w="1518" w:type="dxa"/>
            <w:gridSpan w:val="2"/>
            <w:vAlign w:val="center"/>
          </w:tcPr>
          <w:p w14:paraId="3294139C" w14:textId="1EF5B773" w:rsidR="00225BD0" w:rsidRPr="00710595" w:rsidRDefault="00C6651B" w:rsidP="0092497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1500 – 1545</w:t>
            </w:r>
          </w:p>
        </w:tc>
        <w:tc>
          <w:tcPr>
            <w:tcW w:w="604" w:type="dxa"/>
            <w:vAlign w:val="center"/>
          </w:tcPr>
          <w:p w14:paraId="75C1125F" w14:textId="7CA8117E" w:rsidR="00225BD0" w:rsidRPr="00710595" w:rsidRDefault="00225BD0" w:rsidP="003473C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2.</w:t>
            </w:r>
            <w:r w:rsidR="002902B9" w:rsidRPr="00710595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AEACA64" w14:textId="551F0104" w:rsidR="00225BD0" w:rsidRPr="00710595" w:rsidRDefault="00CE69D7" w:rsidP="00E16B8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Coordination</w:t>
            </w:r>
          </w:p>
        </w:tc>
        <w:tc>
          <w:tcPr>
            <w:tcW w:w="1302" w:type="dxa"/>
            <w:vAlign w:val="center"/>
          </w:tcPr>
          <w:p w14:paraId="6C6305D0" w14:textId="296EEF25" w:rsidR="00225BD0" w:rsidRPr="00710595" w:rsidRDefault="00C6651B" w:rsidP="0092497B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45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min</w:t>
            </w:r>
          </w:p>
        </w:tc>
      </w:tr>
      <w:tr w:rsidR="00225BD0" w:rsidRPr="00710595" w14:paraId="4548260C" w14:textId="107912E3" w:rsidTr="003C6858">
        <w:trPr>
          <w:jc w:val="center"/>
        </w:trPr>
        <w:tc>
          <w:tcPr>
            <w:tcW w:w="1518" w:type="dxa"/>
            <w:gridSpan w:val="2"/>
            <w:shd w:val="clear" w:color="auto" w:fill="FDE9D9" w:themeFill="accent6" w:themeFillTint="33"/>
            <w:vAlign w:val="center"/>
          </w:tcPr>
          <w:p w14:paraId="79F40EDD" w14:textId="7CE7B24D" w:rsidR="00225BD0" w:rsidRPr="00710595" w:rsidRDefault="00C6651B" w:rsidP="00CE69D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1545</w:t>
            </w:r>
            <w:r w:rsidR="00E16B88" w:rsidRPr="00710595">
              <w:rPr>
                <w:rFonts w:asciiTheme="majorHAnsi" w:hAnsiTheme="majorHAnsi" w:cs="Calibri"/>
                <w:sz w:val="22"/>
                <w:szCs w:val="22"/>
              </w:rPr>
              <w:t xml:space="preserve"> – 1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>615</w:t>
            </w:r>
          </w:p>
        </w:tc>
        <w:tc>
          <w:tcPr>
            <w:tcW w:w="6808" w:type="dxa"/>
            <w:gridSpan w:val="2"/>
            <w:shd w:val="clear" w:color="auto" w:fill="FDE9D9" w:themeFill="accent6" w:themeFillTint="33"/>
            <w:vAlign w:val="center"/>
          </w:tcPr>
          <w:p w14:paraId="22EB3B3C" w14:textId="33327ECB" w:rsidR="00225BD0" w:rsidRPr="00710595" w:rsidRDefault="003C6858" w:rsidP="00A12D4E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 xml:space="preserve">Pause </w:t>
            </w:r>
          </w:p>
        </w:tc>
        <w:tc>
          <w:tcPr>
            <w:tcW w:w="1302" w:type="dxa"/>
            <w:shd w:val="clear" w:color="auto" w:fill="FDE9D9" w:themeFill="accent6" w:themeFillTint="33"/>
            <w:vAlign w:val="center"/>
          </w:tcPr>
          <w:p w14:paraId="354C2585" w14:textId="77777777" w:rsidR="00225BD0" w:rsidRPr="00710595" w:rsidRDefault="00225BD0" w:rsidP="00A12D4E">
            <w:pPr>
              <w:rPr>
                <w:rStyle w:val="hps"/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Style w:val="hps"/>
                <w:rFonts w:asciiTheme="majorHAnsi" w:hAnsiTheme="majorHAnsi" w:cs="Calibri"/>
                <w:sz w:val="22"/>
                <w:szCs w:val="22"/>
              </w:rPr>
              <w:t>30 min</w:t>
            </w:r>
          </w:p>
        </w:tc>
      </w:tr>
      <w:tr w:rsidR="00225BD0" w:rsidRPr="00710595" w14:paraId="5647CD40" w14:textId="26544BC3" w:rsidTr="003C6858">
        <w:trPr>
          <w:trHeight w:val="488"/>
          <w:jc w:val="center"/>
        </w:trPr>
        <w:tc>
          <w:tcPr>
            <w:tcW w:w="1518" w:type="dxa"/>
            <w:gridSpan w:val="2"/>
            <w:vAlign w:val="center"/>
          </w:tcPr>
          <w:p w14:paraId="24D38F2C" w14:textId="4C6FB75D" w:rsidR="00225BD0" w:rsidRPr="00710595" w:rsidRDefault="00C6651B" w:rsidP="00C6651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1615</w:t>
            </w:r>
            <w:r w:rsidR="00CE69D7" w:rsidRPr="00710595">
              <w:rPr>
                <w:rFonts w:asciiTheme="majorHAnsi" w:hAnsiTheme="majorHAnsi" w:cs="Calibri"/>
                <w:sz w:val="22"/>
                <w:szCs w:val="22"/>
              </w:rPr>
              <w:t xml:space="preserve"> - </w:t>
            </w:r>
            <w:r w:rsidRPr="00710595">
              <w:rPr>
                <w:rFonts w:asciiTheme="majorHAnsi" w:hAnsiTheme="majorHAnsi" w:cs="Calibri"/>
                <w:sz w:val="22"/>
                <w:szCs w:val="22"/>
              </w:rPr>
              <w:t>1700</w:t>
            </w:r>
          </w:p>
        </w:tc>
        <w:tc>
          <w:tcPr>
            <w:tcW w:w="604" w:type="dxa"/>
            <w:vAlign w:val="center"/>
          </w:tcPr>
          <w:p w14:paraId="632847D3" w14:textId="3A4854A1" w:rsidR="00225BD0" w:rsidRPr="00710595" w:rsidRDefault="00225BD0" w:rsidP="003473C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2.</w:t>
            </w:r>
            <w:r w:rsidR="00262D9E" w:rsidRPr="00710595">
              <w:rPr>
                <w:rFonts w:asciiTheme="majorHAnsi" w:hAnsiTheme="majorHAnsi" w:cs="Calibri"/>
                <w:sz w:val="22"/>
                <w:szCs w:val="22"/>
              </w:rPr>
              <w:t>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B585660" w14:textId="3196185D" w:rsidR="00225BD0" w:rsidRPr="00710595" w:rsidRDefault="00B76882" w:rsidP="00B76882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Gestion de l’information 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>(</w:t>
            </w:r>
            <w:r w:rsidR="003C6858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idéalement facilitateur externe / spécialiste) </w:t>
            </w:r>
            <w:r w:rsidR="00225BD0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26F669DB" w14:textId="661134CB" w:rsidR="00225BD0" w:rsidRPr="00710595" w:rsidRDefault="00225BD0" w:rsidP="003473C6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45 min</w:t>
            </w:r>
          </w:p>
        </w:tc>
      </w:tr>
      <w:tr w:rsidR="00225BD0" w:rsidRPr="00710595" w14:paraId="16BA2D80" w14:textId="7CFA7C4C" w:rsidTr="003C6858">
        <w:trPr>
          <w:jc w:val="center"/>
        </w:trPr>
        <w:tc>
          <w:tcPr>
            <w:tcW w:w="1518" w:type="dxa"/>
            <w:gridSpan w:val="2"/>
            <w:vAlign w:val="center"/>
          </w:tcPr>
          <w:p w14:paraId="6C7CB8BF" w14:textId="055159D3" w:rsidR="00225BD0" w:rsidRPr="00710595" w:rsidRDefault="00C6651B" w:rsidP="003473C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sz w:val="22"/>
                <w:szCs w:val="22"/>
              </w:rPr>
              <w:t>1700</w:t>
            </w:r>
            <w:r w:rsidR="00CE69D7" w:rsidRPr="00710595">
              <w:rPr>
                <w:rFonts w:asciiTheme="majorHAnsi" w:hAnsiTheme="majorHAnsi" w:cs="Calibri"/>
                <w:sz w:val="22"/>
                <w:szCs w:val="22"/>
              </w:rPr>
              <w:t xml:space="preserve"> - 1730</w:t>
            </w:r>
          </w:p>
        </w:tc>
        <w:tc>
          <w:tcPr>
            <w:tcW w:w="604" w:type="dxa"/>
            <w:vAlign w:val="center"/>
          </w:tcPr>
          <w:p w14:paraId="07C86BD4" w14:textId="77777777" w:rsidR="00225BD0" w:rsidRPr="00710595" w:rsidRDefault="00225BD0" w:rsidP="003473C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2EDD61FC" w14:textId="1B705140" w:rsidR="00225BD0" w:rsidRPr="00710595" w:rsidRDefault="00225BD0" w:rsidP="003C6858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Evaluation</w:t>
            </w:r>
            <w:r w:rsidR="00E9725B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="003C6858" w:rsidRPr="00710595">
              <w:rPr>
                <w:rFonts w:asciiTheme="majorHAnsi" w:hAnsiTheme="majorHAnsi" w:cs="Calibri"/>
                <w:bCs/>
                <w:sz w:val="22"/>
                <w:szCs w:val="22"/>
              </w:rPr>
              <w:t>de la deuxième journée et</w:t>
            </w:r>
            <w:r w:rsidR="00E9725B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="003C6858" w:rsidRPr="0071059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Clôture </w:t>
            </w:r>
          </w:p>
        </w:tc>
        <w:tc>
          <w:tcPr>
            <w:tcW w:w="1302" w:type="dxa"/>
            <w:vAlign w:val="center"/>
          </w:tcPr>
          <w:p w14:paraId="7E04BC56" w14:textId="77777777" w:rsidR="00225BD0" w:rsidRPr="00710595" w:rsidRDefault="00225BD0" w:rsidP="003473C6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595">
              <w:rPr>
                <w:rFonts w:asciiTheme="majorHAnsi" w:hAnsiTheme="majorHAnsi" w:cs="Calibri"/>
                <w:bCs/>
                <w:sz w:val="22"/>
                <w:szCs w:val="22"/>
              </w:rPr>
              <w:t>30 min</w:t>
            </w:r>
          </w:p>
        </w:tc>
      </w:tr>
    </w:tbl>
    <w:p w14:paraId="0FBC0319" w14:textId="58384717" w:rsidR="00BB0B75" w:rsidRPr="0096644E" w:rsidRDefault="00BB0B75" w:rsidP="00BB0B75">
      <w:pPr>
        <w:rPr>
          <w:rFonts w:ascii="Calibri" w:hAnsi="Calibri" w:cs="Calibri"/>
          <w:sz w:val="22"/>
          <w:szCs w:val="22"/>
          <w:lang w:val="en-GB"/>
        </w:rPr>
      </w:pPr>
    </w:p>
    <w:sectPr w:rsidR="00BB0B75" w:rsidRPr="0096644E" w:rsidSect="00225BD0">
      <w:headerReference w:type="default" r:id="rId7"/>
      <w:pgSz w:w="11907" w:h="16839" w:code="9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BE31" w14:textId="77777777" w:rsidR="00A064B4" w:rsidRDefault="00A064B4" w:rsidP="00BB0B75">
      <w:r>
        <w:separator/>
      </w:r>
    </w:p>
  </w:endnote>
  <w:endnote w:type="continuationSeparator" w:id="0">
    <w:p w14:paraId="715DE7F3" w14:textId="77777777" w:rsidR="00A064B4" w:rsidRDefault="00A064B4" w:rsidP="00BB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6AC5" w14:textId="77777777" w:rsidR="00A064B4" w:rsidRDefault="00A064B4" w:rsidP="00BB0B75">
      <w:r>
        <w:separator/>
      </w:r>
    </w:p>
  </w:footnote>
  <w:footnote w:type="continuationSeparator" w:id="0">
    <w:p w14:paraId="4D6BFD15" w14:textId="77777777" w:rsidR="00A064B4" w:rsidRDefault="00A064B4" w:rsidP="00BB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FFF5" w14:textId="77777777" w:rsidR="00A064B4" w:rsidRDefault="00A064B4">
    <w:pPr>
      <w:pStyle w:val="Header"/>
    </w:pPr>
  </w:p>
  <w:p w14:paraId="745D2B73" w14:textId="77777777" w:rsidR="00A064B4" w:rsidRDefault="00A06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26BC"/>
    <w:multiLevelType w:val="hybridMultilevel"/>
    <w:tmpl w:val="612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115"/>
    <w:rsid w:val="000162AB"/>
    <w:rsid w:val="000451FE"/>
    <w:rsid w:val="00046050"/>
    <w:rsid w:val="000607CB"/>
    <w:rsid w:val="0006181D"/>
    <w:rsid w:val="00063878"/>
    <w:rsid w:val="000827C4"/>
    <w:rsid w:val="0008401E"/>
    <w:rsid w:val="000A5593"/>
    <w:rsid w:val="0015674E"/>
    <w:rsid w:val="00164BDF"/>
    <w:rsid w:val="001660B9"/>
    <w:rsid w:val="00167176"/>
    <w:rsid w:val="001A1D0E"/>
    <w:rsid w:val="001C5363"/>
    <w:rsid w:val="001C6B05"/>
    <w:rsid w:val="001D46CC"/>
    <w:rsid w:val="001E755D"/>
    <w:rsid w:val="001F1845"/>
    <w:rsid w:val="002073E9"/>
    <w:rsid w:val="00222A5C"/>
    <w:rsid w:val="00225BD0"/>
    <w:rsid w:val="002346AE"/>
    <w:rsid w:val="00245F84"/>
    <w:rsid w:val="0025307D"/>
    <w:rsid w:val="00262BF9"/>
    <w:rsid w:val="00262D9E"/>
    <w:rsid w:val="00285CBE"/>
    <w:rsid w:val="002902B9"/>
    <w:rsid w:val="002A0D2F"/>
    <w:rsid w:val="002B1A07"/>
    <w:rsid w:val="002D2C89"/>
    <w:rsid w:val="002D48ED"/>
    <w:rsid w:val="002F42D1"/>
    <w:rsid w:val="003473C6"/>
    <w:rsid w:val="0037786A"/>
    <w:rsid w:val="00385ABF"/>
    <w:rsid w:val="0038730F"/>
    <w:rsid w:val="003B5F1D"/>
    <w:rsid w:val="003C6858"/>
    <w:rsid w:val="003F7081"/>
    <w:rsid w:val="003F7682"/>
    <w:rsid w:val="00415021"/>
    <w:rsid w:val="00441831"/>
    <w:rsid w:val="004561B7"/>
    <w:rsid w:val="00490EE9"/>
    <w:rsid w:val="00496014"/>
    <w:rsid w:val="004E09A4"/>
    <w:rsid w:val="004E6841"/>
    <w:rsid w:val="004F5EC6"/>
    <w:rsid w:val="00532215"/>
    <w:rsid w:val="00543271"/>
    <w:rsid w:val="00546991"/>
    <w:rsid w:val="00586DEB"/>
    <w:rsid w:val="005B4089"/>
    <w:rsid w:val="005D7EE2"/>
    <w:rsid w:val="006206AF"/>
    <w:rsid w:val="00651CE1"/>
    <w:rsid w:val="00673F5F"/>
    <w:rsid w:val="00680170"/>
    <w:rsid w:val="006E1146"/>
    <w:rsid w:val="006E2758"/>
    <w:rsid w:val="006F21AE"/>
    <w:rsid w:val="00710595"/>
    <w:rsid w:val="00711D17"/>
    <w:rsid w:val="00737C1C"/>
    <w:rsid w:val="0076677D"/>
    <w:rsid w:val="007A7D7C"/>
    <w:rsid w:val="007D4125"/>
    <w:rsid w:val="007F39B2"/>
    <w:rsid w:val="00801946"/>
    <w:rsid w:val="00853C05"/>
    <w:rsid w:val="00875C88"/>
    <w:rsid w:val="008829D0"/>
    <w:rsid w:val="00882D1F"/>
    <w:rsid w:val="008942AF"/>
    <w:rsid w:val="008A7A6A"/>
    <w:rsid w:val="008F0CBE"/>
    <w:rsid w:val="009175DE"/>
    <w:rsid w:val="0092497B"/>
    <w:rsid w:val="009255E0"/>
    <w:rsid w:val="00953194"/>
    <w:rsid w:val="00956F30"/>
    <w:rsid w:val="0096644E"/>
    <w:rsid w:val="009A5563"/>
    <w:rsid w:val="009E5C10"/>
    <w:rsid w:val="00A064B4"/>
    <w:rsid w:val="00A12D4E"/>
    <w:rsid w:val="00A1447A"/>
    <w:rsid w:val="00A355DB"/>
    <w:rsid w:val="00A54298"/>
    <w:rsid w:val="00A610AD"/>
    <w:rsid w:val="00A62212"/>
    <w:rsid w:val="00A66AEA"/>
    <w:rsid w:val="00A66CEA"/>
    <w:rsid w:val="00AD7276"/>
    <w:rsid w:val="00AD7404"/>
    <w:rsid w:val="00B1025C"/>
    <w:rsid w:val="00B123E2"/>
    <w:rsid w:val="00B517D7"/>
    <w:rsid w:val="00B519B7"/>
    <w:rsid w:val="00B76882"/>
    <w:rsid w:val="00BB083A"/>
    <w:rsid w:val="00BB0B75"/>
    <w:rsid w:val="00BB0F04"/>
    <w:rsid w:val="00BC34F4"/>
    <w:rsid w:val="00C16F50"/>
    <w:rsid w:val="00C6651B"/>
    <w:rsid w:val="00C7036A"/>
    <w:rsid w:val="00CA1BF4"/>
    <w:rsid w:val="00CA7748"/>
    <w:rsid w:val="00CB13A9"/>
    <w:rsid w:val="00CB1BA0"/>
    <w:rsid w:val="00CB21BE"/>
    <w:rsid w:val="00CB2B6B"/>
    <w:rsid w:val="00CD3203"/>
    <w:rsid w:val="00CD62A3"/>
    <w:rsid w:val="00CE69D7"/>
    <w:rsid w:val="00CF2A15"/>
    <w:rsid w:val="00D3717A"/>
    <w:rsid w:val="00D60A0F"/>
    <w:rsid w:val="00D6293E"/>
    <w:rsid w:val="00D63B73"/>
    <w:rsid w:val="00D64DE2"/>
    <w:rsid w:val="00D7274C"/>
    <w:rsid w:val="00DC788D"/>
    <w:rsid w:val="00DD00FD"/>
    <w:rsid w:val="00DE214F"/>
    <w:rsid w:val="00DF6A74"/>
    <w:rsid w:val="00E16B88"/>
    <w:rsid w:val="00E31115"/>
    <w:rsid w:val="00E9725B"/>
    <w:rsid w:val="00EA00DC"/>
    <w:rsid w:val="00EC50DC"/>
    <w:rsid w:val="00EC78A9"/>
    <w:rsid w:val="00F3145A"/>
    <w:rsid w:val="00F331D6"/>
    <w:rsid w:val="00F40C5D"/>
    <w:rsid w:val="00F57B45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76247F"/>
  <w15:docId w15:val="{1710496F-574B-4983-9EE6-9706101E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1115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3A5"/>
    <w:pPr>
      <w:keepNext/>
      <w:keepLines/>
      <w:spacing w:before="120" w:after="120"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43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ps">
    <w:name w:val="hps"/>
    <w:basedOn w:val="DefaultParagraphFont"/>
    <w:rsid w:val="005D787A"/>
  </w:style>
  <w:style w:type="paragraph" w:styleId="Header">
    <w:name w:val="header"/>
    <w:basedOn w:val="Normal"/>
    <w:link w:val="HeaderChar"/>
    <w:uiPriority w:val="99"/>
    <w:unhideWhenUsed/>
    <w:rsid w:val="00AA73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3C4"/>
  </w:style>
  <w:style w:type="paragraph" w:styleId="Footer">
    <w:name w:val="footer"/>
    <w:basedOn w:val="Normal"/>
    <w:link w:val="FooterChar"/>
    <w:uiPriority w:val="99"/>
    <w:unhideWhenUsed/>
    <w:rsid w:val="00AA73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3C4"/>
  </w:style>
  <w:style w:type="paragraph" w:styleId="BalloonText">
    <w:name w:val="Balloon Text"/>
    <w:basedOn w:val="Normal"/>
    <w:link w:val="BalloonTextChar"/>
    <w:uiPriority w:val="99"/>
    <w:semiHidden/>
    <w:unhideWhenUsed/>
    <w:rsid w:val="00AA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C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811C4"/>
  </w:style>
  <w:style w:type="paragraph" w:styleId="NormalWeb">
    <w:name w:val="Normal (Web)"/>
    <w:basedOn w:val="Normal"/>
    <w:uiPriority w:val="99"/>
    <w:semiHidden/>
    <w:unhideWhenUsed/>
    <w:rsid w:val="00085846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0F34C6-F1B9-47C1-A002-6AB17EB17D36}"/>
</file>

<file path=customXml/itemProps2.xml><?xml version="1.0" encoding="utf-8"?>
<ds:datastoreItem xmlns:ds="http://schemas.openxmlformats.org/officeDocument/2006/customXml" ds:itemID="{FAEF1A82-A13F-4D71-8FE0-543B96B04B07}"/>
</file>

<file path=customXml/itemProps3.xml><?xml version="1.0" encoding="utf-8"?>
<ds:datastoreItem xmlns:ds="http://schemas.openxmlformats.org/officeDocument/2006/customXml" ds:itemID="{9C44C680-5458-4B78-96E6-360E17C04D3F}"/>
</file>

<file path=customXml/itemProps4.xml><?xml version="1.0" encoding="utf-8"?>
<ds:datastoreItem xmlns:ds="http://schemas.openxmlformats.org/officeDocument/2006/customXml" ds:itemID="{D9DCFD45-D0F0-454D-B67C-9F46E869005B}"/>
</file>

<file path=customXml/itemProps5.xml><?xml version="1.0" encoding="utf-8"?>
<ds:datastoreItem xmlns:ds="http://schemas.openxmlformats.org/officeDocument/2006/customXml" ds:itemID="{359935C6-EEB0-44DC-8EF5-B01939CF81D2}"/>
</file>

<file path=customXml/itemProps6.xml><?xml version="1.0" encoding="utf-8"?>
<ds:datastoreItem xmlns:ds="http://schemas.openxmlformats.org/officeDocument/2006/customXml" ds:itemID="{EE0F4C9A-1C15-46D1-9290-D170A1A67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Dieckhaus</dc:creator>
  <cp:lastModifiedBy>Anna Ziolkovska</cp:lastModifiedBy>
  <cp:revision>3</cp:revision>
  <cp:lastPrinted>2014-06-05T14:42:00Z</cp:lastPrinted>
  <dcterms:created xsi:type="dcterms:W3CDTF">2016-02-17T22:22:00Z</dcterms:created>
  <dcterms:modified xsi:type="dcterms:W3CDTF">2019-03-07T12:42:00Z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