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61"/>
        <w:gridCol w:w="3572"/>
      </w:tblGrid>
      <w:tr w:rsidR="0026733E" w:rsidTr="006048A2">
        <w:trPr>
          <w:trHeight w:val="433"/>
        </w:trPr>
        <w:tc>
          <w:tcPr>
            <w:tcW w:w="72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1"/>
            </w:tblGrid>
            <w:tr w:rsidR="00074412">
              <w:trPr>
                <w:trHeight w:val="355"/>
              </w:trPr>
              <w:tc>
                <w:tcPr>
                  <w:tcW w:w="10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6048A2">
                  <w:pPr>
                    <w:spacing w:after="0" w:line="240" w:lineRule="auto"/>
                    <w:jc w:val="right"/>
                  </w:pPr>
                  <w:r w:rsidRPr="006048A2">
                    <w:rPr>
                      <w:rFonts w:ascii="Tahoma" w:eastAsia="Tahoma" w:hAnsi="Tahoma"/>
                      <w:b/>
                      <w:color w:val="4682B4"/>
                      <w:sz w:val="28"/>
                    </w:rPr>
                    <w:t>Cluster Coordination Performance Monitoring</w:t>
                  </w:r>
                  <w:r w:rsidR="00BC66F8">
                    <w:rPr>
                      <w:rFonts w:ascii="Tahoma" w:eastAsia="Tahoma" w:hAnsi="Tahoma"/>
                      <w:b/>
                      <w:color w:val="4682B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682B4"/>
                    </w:rPr>
                    <w:t>1May</w:t>
                  </w:r>
                  <w:r w:rsidR="00BC66F8">
                    <w:rPr>
                      <w:rFonts w:ascii="Tahoma" w:eastAsia="Tahoma" w:hAnsi="Tahoma"/>
                      <w:b/>
                      <w:color w:val="4682B4"/>
                    </w:rPr>
                    <w:t>2014</w:t>
                  </w: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3572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  <w:p w:rsidR="006048A2" w:rsidRDefault="006048A2">
            <w:pPr>
              <w:pStyle w:val="EmptyCellLayoutStyle"/>
              <w:spacing w:after="0" w:line="240" w:lineRule="auto"/>
            </w:pPr>
          </w:p>
          <w:p w:rsidR="006048A2" w:rsidRDefault="006048A2">
            <w:pPr>
              <w:pStyle w:val="EmptyCellLayoutStyle"/>
              <w:spacing w:after="0" w:line="240" w:lineRule="auto"/>
            </w:pPr>
          </w:p>
        </w:tc>
      </w:tr>
      <w:tr w:rsidR="00074412" w:rsidTr="006048A2">
        <w:trPr>
          <w:trHeight w:val="286"/>
        </w:trPr>
        <w:tc>
          <w:tcPr>
            <w:tcW w:w="7140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  <w:tc>
          <w:tcPr>
            <w:tcW w:w="3572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Pr="002C3BB4" w:rsidRDefault="00074412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3"/>
        <w:gridCol w:w="560"/>
      </w:tblGrid>
      <w:tr w:rsidR="00074412">
        <w:tc>
          <w:tcPr>
            <w:tcW w:w="10204" w:type="dxa"/>
          </w:tcPr>
          <w:tbl>
            <w:tblPr>
              <w:tblW w:w="1019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2923"/>
            </w:tblGrid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Table 2 Performance status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6048A2" w:rsidRDefault="006048A2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</w:rPr>
                  </w:pPr>
                  <w:r w:rsidRPr="006048A2">
                    <w:rPr>
                      <w:color w:val="FF0000"/>
                      <w:sz w:val="28"/>
                      <w:szCs w:val="28"/>
                    </w:rPr>
                    <w:t>OVERALL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48A2">
                    <w:rPr>
                      <w:color w:val="FF0000"/>
                      <w:sz w:val="28"/>
                      <w:szCs w:val="28"/>
                    </w:rPr>
                    <w:t>RESULTS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  <w:jc w:val="center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Performance status</w:t>
                  </w: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90EE9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  <w:jc w:val="center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 xml:space="preserve">Green = </w:t>
                  </w: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Good</w:t>
                  </w:r>
                </w:p>
              </w:tc>
            </w:tr>
            <w:tr w:rsidR="00074412" w:rsidRPr="002C3BB4" w:rsidTr="006048A2">
              <w:trPr>
                <w:trHeight w:val="568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  <w:jc w:val="center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 xml:space="preserve">Yellow = </w:t>
                  </w: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Satisfactory</w:t>
                  </w:r>
                  <w:r w:rsidRPr="002C3BB4">
                    <w:rPr>
                      <w:rFonts w:ascii="Tahoma" w:eastAsia="Tahoma" w:hAnsi="Tahoma"/>
                      <w:color w:val="000000"/>
                    </w:rPr>
                    <w:t>, needs minor improvements</w:t>
                  </w:r>
                </w:p>
              </w:tc>
            </w:tr>
            <w:tr w:rsidR="00074412" w:rsidRPr="002C3BB4" w:rsidTr="006048A2">
              <w:trPr>
                <w:trHeight w:val="585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  <w:jc w:val="center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 xml:space="preserve">Orange = </w:t>
                  </w: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Unsatisfactory</w:t>
                  </w:r>
                  <w:r w:rsidRPr="002C3BB4">
                    <w:rPr>
                      <w:rFonts w:ascii="Tahoma" w:eastAsia="Tahoma" w:hAnsi="Tahoma"/>
                      <w:color w:val="000000"/>
                    </w:rPr>
                    <w:t>, needs major improvements</w:t>
                  </w: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0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  <w:jc w:val="center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 xml:space="preserve">Red = </w:t>
                  </w: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Weak</w:t>
                  </w: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1.Supporting service delivery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</w:pPr>
                </w:p>
              </w:tc>
            </w:tr>
            <w:tr w:rsidR="00074412" w:rsidRPr="002C3BB4" w:rsidTr="006048A2">
              <w:trPr>
                <w:trHeight w:val="568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1.1 Provide a platform to ensure that service delivery is driven by the agreed strategic priorities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1.2 Develop mechanisms to eliminate duplication of service delivery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568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2. Informing strategic decision-making of the HC/HCT for the humanitarian response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</w:pPr>
                </w:p>
              </w:tc>
            </w:tr>
            <w:tr w:rsidR="00074412" w:rsidRPr="002C3BB4" w:rsidTr="006048A2">
              <w:trPr>
                <w:trHeight w:val="568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2.1 Needs assessment and gap analysis (across other sectors and within the sector)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568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2.2 Analysis to identify and address (emerging) gaps, obstacles, duplication, and cross-cutting issues.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2.3 Prioritization, grounded in response analysis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3. Planning and strategy development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</w:pPr>
                </w:p>
              </w:tc>
            </w:tr>
            <w:tr w:rsidR="00074412" w:rsidRPr="002C3BB4" w:rsidTr="006048A2">
              <w:trPr>
                <w:trHeight w:val="551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3.1 Develop sectoral plans, objectives and indicators directly supporting realization of the HC/HCT strategic priorities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3.2 Application and adherence to existing standards and guidelines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63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3.3 Clarify funding requirements, prioritization, and cluster contributions to HC’s overall humanitarian funding considerations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4. Advocacy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</w:pPr>
                </w:p>
              </w:tc>
            </w:tr>
            <w:tr w:rsidR="00074412" w:rsidRPr="002C3BB4" w:rsidTr="006048A2">
              <w:trPr>
                <w:trHeight w:val="551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4.1 Identify advocacy concerns to contribute to HC and HCT messaging and action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568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color w:val="000000"/>
                    </w:rPr>
                    <w:t>4.2 Undertaking advocacy activities on behalf of cluster participants and the affected population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5. Monitoring and reporting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RPr="002C3BB4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6. Contingency planning/preparedness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96"/>
              </w:trPr>
              <w:tc>
                <w:tcPr>
                  <w:tcW w:w="72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BC66F8">
                  <w:pPr>
                    <w:spacing w:after="0" w:line="240" w:lineRule="auto"/>
                  </w:pPr>
                  <w:r w:rsidRPr="002C3BB4">
                    <w:rPr>
                      <w:rFonts w:ascii="Tahoma" w:eastAsia="Tahoma" w:hAnsi="Tahoma"/>
                      <w:b/>
                      <w:color w:val="000000"/>
                    </w:rPr>
                    <w:t>7. Accountability to affected population</w:t>
                  </w:r>
                </w:p>
              </w:tc>
              <w:tc>
                <w:tcPr>
                  <w:tcW w:w="2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2C3BB4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26733E" w:rsidTr="006048A2">
              <w:trPr>
                <w:trHeight w:val="296"/>
              </w:trPr>
              <w:tc>
                <w:tcPr>
                  <w:tcW w:w="101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753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BC66F8">
      <w:pPr>
        <w:spacing w:after="0" w:line="240" w:lineRule="auto"/>
        <w:rPr>
          <w:sz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0"/>
        <w:gridCol w:w="1523"/>
      </w:tblGrid>
      <w:tr w:rsidR="00074412">
        <w:tc>
          <w:tcPr>
            <w:tcW w:w="10276" w:type="dxa"/>
          </w:tcPr>
          <w:tbl>
            <w:tblPr>
              <w:tblpPr w:leftFromText="180" w:rightFromText="180" w:tblpY="1661"/>
              <w:tblOverlap w:val="never"/>
              <w:tblW w:w="885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5"/>
              <w:gridCol w:w="2313"/>
            </w:tblGrid>
            <w:tr w:rsidR="0026733E" w:rsidTr="006048A2">
              <w:trPr>
                <w:trHeight w:val="340"/>
              </w:trPr>
              <w:tc>
                <w:tcPr>
                  <w:tcW w:w="885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lastRenderedPageBreak/>
                    <w:t>Table 3  Scoring by question (the higher the percentage, the better the performance of this activity)</w:t>
                  </w: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1. Supporting service delivery (all values in %)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All values in %</w:t>
                  </w: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1.1 Provide a platform to ensure that service delivery is driven by the agreed strategic priorities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List of partners regularly updated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 xml:space="preserve">Regular cluster meetings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</w:rPr>
                    <w:t>organised</w:t>
                  </w:r>
                  <w:proofErr w:type="spellEnd"/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Attendance of cluster partners to cluster meetings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Level of decision making power of staff attending cluster meetings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Conditions for optimal participation of national and international stakeholders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Writing of minutes of cluster meetings with action points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Usefulness of cluster meetings for discussing needs, gaps and priorities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Useful strategic decision taken within the cluster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Attendance of cluster coordinator to HCT and ICC meetings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Support/engagement of cluster with national coordination mechanisms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1.2 Develop mechanisms to eliminate duplication of service delivery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Mapping of partner geographic presence and programme activities updated as needed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Inputs of health partners into mapping of partner geographic presence and programme activities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Involvement of partners into analysis of gaps and overlaps based on mapping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40"/>
              </w:trPr>
              <w:tc>
                <w:tcPr>
                  <w:tcW w:w="6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Analysis of gaps and overlaps based on mapping useful for decision-making</w:t>
                  </w:r>
                </w:p>
              </w:tc>
              <w:tc>
                <w:tcPr>
                  <w:tcW w:w="23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26733E" w:rsidTr="006048A2">
              <w:trPr>
                <w:trHeight w:val="340"/>
              </w:trPr>
              <w:tc>
                <w:tcPr>
                  <w:tcW w:w="885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</w:pPr>
                </w:p>
              </w:tc>
            </w:tr>
          </w:tbl>
          <w:p w:rsidR="00074412" w:rsidRPr="00DD63C5" w:rsidRDefault="00DD63C5" w:rsidP="00C61E6A">
            <w:pPr>
              <w:spacing w:after="0" w:line="240" w:lineRule="auto"/>
              <w:ind w:left="720" w:hanging="720"/>
              <w:rPr>
                <w:color w:val="FF0000"/>
              </w:rPr>
            </w:pPr>
            <w:r w:rsidRPr="00DD63C5">
              <w:rPr>
                <w:color w:val="FF0000"/>
              </w:rPr>
              <w:t>RESULTS PER SECTOR (SEVEN SECTORS)</w:t>
            </w: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BC66F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4"/>
        <w:gridCol w:w="1239"/>
      </w:tblGrid>
      <w:tr w:rsidR="00074412">
        <w:tc>
          <w:tcPr>
            <w:tcW w:w="10276" w:type="dxa"/>
          </w:tcPr>
          <w:tbl>
            <w:tblPr>
              <w:tblW w:w="931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3"/>
              <w:gridCol w:w="2267"/>
            </w:tblGrid>
            <w:tr w:rsidR="0026733E" w:rsidTr="006048A2">
              <w:trPr>
                <w:trHeight w:val="309"/>
              </w:trPr>
              <w:tc>
                <w:tcPr>
                  <w:tcW w:w="9310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lastRenderedPageBreak/>
                    <w:t>2. Informing strategic decision-making of the HC/HCT for the humanitarian response</w:t>
                  </w: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2.1 Needs assessment and gap analysis (across other sectors and within the sector)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Use of cluster agreed tools and guidance for needs assessments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Involvement of partners in joint needs assessments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Sharing by partners of their assessment reports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2.2 Needs assessment and gap analysis (across other sectors and within the sector)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Analyses of situations done together with cluster partners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Analyses of situations identified risk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Analyses of situations identified needs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Analyses of situations identified gaps in response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Analyses of situations identified capacity in response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Analyses of situations identified constraints to respond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Age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Gender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Diversity – other than age and gender-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Human rights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Protection, including gender-based violence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Environment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HIV/AIDS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Disability (cross-cutting issue) considered in analyses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2.3 Prioritization, grounded in response analysis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309"/>
              </w:trPr>
              <w:tc>
                <w:tcPr>
                  <w:tcW w:w="7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Joint analyses supporting response planning</w:t>
                  </w:r>
                </w:p>
              </w:tc>
              <w:tc>
                <w:tcPr>
                  <w:tcW w:w="2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26733E" w:rsidTr="006048A2">
              <w:trPr>
                <w:trHeight w:val="309"/>
              </w:trPr>
              <w:tc>
                <w:tcPr>
                  <w:tcW w:w="9310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BC66F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  <w:gridCol w:w="962"/>
      </w:tblGrid>
      <w:tr w:rsidR="00074412">
        <w:tc>
          <w:tcPr>
            <w:tcW w:w="10276" w:type="dxa"/>
          </w:tcPr>
          <w:tbl>
            <w:tblPr>
              <w:tblW w:w="969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0"/>
              <w:gridCol w:w="2349"/>
            </w:tblGrid>
            <w:tr w:rsidR="0026733E" w:rsidTr="006048A2">
              <w:trPr>
                <w:trHeight w:val="274"/>
              </w:trPr>
              <w:tc>
                <w:tcPr>
                  <w:tcW w:w="96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lastRenderedPageBreak/>
                    <w:t>3. Planning and strategy development</w:t>
                  </w: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3.1 Develop sectoral plans, objectives and indicators directly supporting realization of the HC/HCT strategic priorities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Strategic plan developed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Partners involved in the development of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Sectoral strategic plan includes objectives, activities and indicators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Sectoral strategic plan reviewed against host government strategy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Age (cross-cutting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Gender (cross-cutting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Diversity – other than age and gender- (cross-cutti</w:t>
                  </w:r>
                  <w:r w:rsidR="00580B40">
                    <w:rPr>
                      <w:rFonts w:ascii="Tahoma" w:eastAsia="Tahoma" w:hAnsi="Tahoma"/>
                      <w:color w:val="000000"/>
                    </w:rPr>
                    <w:t>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Human rights (cross-cutti</w:t>
                  </w:r>
                  <w:r w:rsidR="00580B40">
                    <w:rPr>
                      <w:rFonts w:ascii="Tahoma" w:eastAsia="Tahoma" w:hAnsi="Tahoma"/>
                      <w:color w:val="000000"/>
                    </w:rPr>
                    <w:t>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Protection, including gender-based violence (cross-cutting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Environment (cross-cutting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HIV/AIDS (cross-cutting issue) considered in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 w:rsidP="00580B4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Disability (cross-cutting issue) considered in</w:t>
                  </w:r>
                  <w:r w:rsidR="00580B40">
                    <w:rPr>
                      <w:rFonts w:ascii="Tahoma" w:eastAsia="Tahoma" w:hAnsi="Tahoma"/>
                      <w:color w:val="000000"/>
                    </w:rPr>
                    <w:t xml:space="preserve"> strategic plan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Strategic plan shows synergies from with other sectors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Strategic plan guided response from partners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Deactivation criteria and phasing out strategy formulated together with partners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3.2 Application and adherence to existing standards and guidelines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Pr="006048A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National and international standards and guidance identified and adapted as required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Technical standards and guidance agreed upon and used by partners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3.3 Clarify funding requirements, prioritization, and cluster contributions to HC’s overall humanitarian funding considerations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</w:rPr>
                    <w:t>Prioritisation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</w:rPr>
                    <w:t xml:space="preserve"> of proposals against the strategic plan jointly determined with partners based on agreed transparent criteria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</w:rPr>
                    <w:t>Prioritisation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</w:rPr>
                    <w:t xml:space="preserve"> of proposals against strategic plan reflected interest of partners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Cluster supported and facilitated access to funding sources by partners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074412" w:rsidTr="006048A2">
              <w:trPr>
                <w:trHeight w:val="274"/>
              </w:trPr>
              <w:tc>
                <w:tcPr>
                  <w:tcW w:w="73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BC66F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Regular reporting on funding status</w:t>
                  </w:r>
                </w:p>
              </w:tc>
              <w:tc>
                <w:tcPr>
                  <w:tcW w:w="2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  <w:jc w:val="center"/>
                  </w:pPr>
                </w:p>
              </w:tc>
            </w:tr>
            <w:tr w:rsidR="0026733E" w:rsidTr="006048A2">
              <w:trPr>
                <w:trHeight w:val="274"/>
              </w:trPr>
              <w:tc>
                <w:tcPr>
                  <w:tcW w:w="96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12" w:rsidRDefault="0007441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BC66F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  <w:gridCol w:w="2116"/>
      </w:tblGrid>
      <w:tr w:rsidR="00074412">
        <w:tc>
          <w:tcPr>
            <w:tcW w:w="10276" w:type="dxa"/>
          </w:tcPr>
          <w:tbl>
            <w:tblPr>
              <w:tblW w:w="76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3"/>
              <w:gridCol w:w="1027"/>
            </w:tblGrid>
            <w:tr w:rsidR="006048A2" w:rsidTr="006048A2">
              <w:trPr>
                <w:trHeight w:val="262"/>
              </w:trPr>
              <w:tc>
                <w:tcPr>
                  <w:tcW w:w="7680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lastRenderedPageBreak/>
                    <w:t>4. Advocacy</w:t>
                  </w: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4.1 Identify advocacy concerns to contribute to HC and HCT messaging and action</w:t>
                  </w:r>
                </w:p>
              </w:tc>
              <w:tc>
                <w:tcPr>
                  <w:tcW w:w="10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Issues requiring advocacy identified and discussed together with partners</w:t>
                  </w:r>
                </w:p>
              </w:tc>
              <w:tc>
                <w:tcPr>
                  <w:tcW w:w="10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4.2 Undertaking advocacy activities on behalf of cluster participants and the affected population</w:t>
                  </w:r>
                </w:p>
              </w:tc>
              <w:tc>
                <w:tcPr>
                  <w:tcW w:w="10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Advocacy activities agreed upon and undertaken with partners</w:t>
                  </w:r>
                </w:p>
              </w:tc>
              <w:tc>
                <w:tcPr>
                  <w:tcW w:w="10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7680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074412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2131"/>
      </w:tblGrid>
      <w:tr w:rsidR="00074412">
        <w:tc>
          <w:tcPr>
            <w:tcW w:w="10276" w:type="dxa"/>
          </w:tcPr>
          <w:tbl>
            <w:tblPr>
              <w:tblW w:w="764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4"/>
              <w:gridCol w:w="992"/>
            </w:tblGrid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5. Monitoring and reporting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Programme monitoring formats agreed upon and used by cluster partners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Reports shared by partners taken into account in cluster reports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Regular publication of progress reports based on agreed indicators for monitoring humanitarian response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Regular publication of cluster bulletins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Changes in needs, risk and gaps highlighted in cluster reports and used for decision-making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Monitoring and response of the cluster taking into account the needs, contributions and capacities of women, girls, men and boys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7646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074412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2131"/>
      </w:tblGrid>
      <w:tr w:rsidR="00074412">
        <w:tc>
          <w:tcPr>
            <w:tcW w:w="10276" w:type="dxa"/>
          </w:tcPr>
          <w:tbl>
            <w:tblPr>
              <w:tblW w:w="764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4"/>
              <w:gridCol w:w="992"/>
            </w:tblGrid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6. Contingency planning/preparedness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National contingency plans identified and shared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Partners contributed to risk assessments and analysis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Partners involved in development of preparedness plan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Partners committed staff and/or resources towards preparedness plans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6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Early warning reports shared with partners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7646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074412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2131"/>
      </w:tblGrid>
      <w:tr w:rsidR="00074412">
        <w:tc>
          <w:tcPr>
            <w:tcW w:w="10276" w:type="dxa"/>
          </w:tcPr>
          <w:tbl>
            <w:tblPr>
              <w:tblW w:w="764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  <w:gridCol w:w="851"/>
            </w:tblGrid>
            <w:tr w:rsidR="006048A2" w:rsidTr="006048A2">
              <w:trPr>
                <w:trHeight w:val="262"/>
              </w:trPr>
              <w:tc>
                <w:tcPr>
                  <w:tcW w:w="67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7. Accountability to affected population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5E0B3" w:themeFill="accent6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 w:rsidP="006048A2">
                  <w:pPr>
                    <w:spacing w:after="0" w:line="240" w:lineRule="auto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7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Mechanisms to consult and involve population in decision-making agreed upon and used by partners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67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Mechanisms to  receive, investigate and act upon complaints on the assistance received agreed upon and used by partners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  <w:jc w:val="center"/>
                  </w:pPr>
                </w:p>
              </w:tc>
            </w:tr>
            <w:tr w:rsidR="006048A2" w:rsidTr="006048A2">
              <w:trPr>
                <w:trHeight w:val="262"/>
              </w:trPr>
              <w:tc>
                <w:tcPr>
                  <w:tcW w:w="7646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8A2" w:rsidRDefault="006048A2">
                  <w:pPr>
                    <w:spacing w:after="0" w:line="240" w:lineRule="auto"/>
                  </w:pPr>
                </w:p>
              </w:tc>
            </w:tr>
          </w:tbl>
          <w:p w:rsidR="00074412" w:rsidRDefault="00074412">
            <w:pPr>
              <w:spacing w:after="0" w:line="240" w:lineRule="auto"/>
            </w:pPr>
          </w:p>
        </w:tc>
        <w:tc>
          <w:tcPr>
            <w:tcW w:w="5681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BC66F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3540"/>
      </w:tblGrid>
      <w:tr w:rsidR="00074412">
        <w:trPr>
          <w:trHeight w:val="79"/>
        </w:trPr>
        <w:tc>
          <w:tcPr>
            <w:tcW w:w="11622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  <w:tc>
          <w:tcPr>
            <w:tcW w:w="5686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  <w:tr w:rsidR="00074412">
        <w:tc>
          <w:tcPr>
            <w:tcW w:w="1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12" w:rsidRDefault="00074412">
            <w:pPr>
              <w:spacing w:after="0" w:line="240" w:lineRule="auto"/>
            </w:pPr>
          </w:p>
        </w:tc>
        <w:tc>
          <w:tcPr>
            <w:tcW w:w="5686" w:type="dxa"/>
          </w:tcPr>
          <w:p w:rsidR="00074412" w:rsidRDefault="00074412">
            <w:pPr>
              <w:pStyle w:val="EmptyCellLayoutStyle"/>
              <w:spacing w:after="0" w:line="240" w:lineRule="auto"/>
            </w:pPr>
          </w:p>
        </w:tc>
      </w:tr>
    </w:tbl>
    <w:p w:rsidR="00074412" w:rsidRDefault="00074412" w:rsidP="006048A2">
      <w:pPr>
        <w:spacing w:after="0" w:line="240" w:lineRule="auto"/>
        <w:rPr>
          <w:sz w:val="0"/>
        </w:rPr>
      </w:pPr>
    </w:p>
    <w:sectPr w:rsidR="00074412" w:rsidSect="0026733E">
      <w:headerReference w:type="default" r:id="rId7"/>
      <w:footerReference w:type="default" r:id="rId8"/>
      <w:pgSz w:w="11905" w:h="18158"/>
      <w:pgMar w:top="283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8D" w:rsidRDefault="00D11F8D">
      <w:pPr>
        <w:spacing w:after="0" w:line="240" w:lineRule="auto"/>
      </w:pPr>
      <w:r>
        <w:separator/>
      </w:r>
    </w:p>
  </w:endnote>
  <w:endnote w:type="continuationSeparator" w:id="0">
    <w:p w:rsidR="00D11F8D" w:rsidRDefault="00D1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3"/>
      <w:gridCol w:w="1856"/>
      <w:gridCol w:w="1532"/>
      <w:gridCol w:w="1985"/>
      <w:gridCol w:w="555"/>
      <w:gridCol w:w="28"/>
      <w:gridCol w:w="536"/>
      <w:gridCol w:w="470"/>
      <w:gridCol w:w="178"/>
    </w:tblGrid>
    <w:tr w:rsidR="002C3BB4" w:rsidRPr="00B94BBA">
      <w:tc>
        <w:tcPr>
          <w:tcW w:w="5085" w:type="dxa"/>
          <w:vMerge w:val="restart"/>
        </w:tcPr>
        <w:p w:rsidR="00B94BBA" w:rsidRPr="00B94BBA" w:rsidRDefault="00B94BBA">
          <w:pPr>
            <w:rPr>
              <w:rFonts w:asciiTheme="minorHAnsi" w:hAnsiTheme="minorHAnsi" w:cstheme="minorHAnsi"/>
            </w:rPr>
          </w:pPr>
          <w:r w:rsidRPr="00B94BBA">
            <w:rPr>
              <w:rFonts w:asciiTheme="minorHAnsi" w:hAnsiTheme="minorHAnsi" w:cstheme="minorHAnsi"/>
            </w:rPr>
            <w:fldChar w:fldCharType="begin"/>
          </w:r>
          <w:r w:rsidRPr="00B94BBA">
            <w:rPr>
              <w:rFonts w:asciiTheme="minorHAnsi" w:hAnsiTheme="minorHAnsi" w:cstheme="minorHAnsi"/>
            </w:rPr>
            <w:instrText xml:space="preserve"> FILENAME   \* MERGEFORMAT </w:instrText>
          </w:r>
          <w:r w:rsidRPr="00B94BBA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noProof/>
            </w:rPr>
            <w:t>5.2 HO CCPM Performance questionnaire</w:t>
          </w:r>
          <w:r w:rsidRPr="00B94BBA">
            <w:rPr>
              <w:rFonts w:asciiTheme="minorHAnsi" w:hAnsiTheme="minorHAnsi" w:cstheme="minorHAnsi"/>
            </w:rPr>
            <w:fldChar w:fldCharType="end"/>
          </w:r>
        </w:p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28"/>
          </w:tblGrid>
          <w:tr w:rsidR="002C3BB4" w:rsidRPr="00B94BBA" w:rsidTr="00B94BBA">
            <w:trPr>
              <w:trHeight w:val="205"/>
            </w:trPr>
            <w:tc>
              <w:tcPr>
                <w:tcW w:w="36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BB4" w:rsidRPr="00B94BBA" w:rsidRDefault="002C3B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B94BBA">
                  <w:rPr>
                    <w:rFonts w:asciiTheme="minorHAnsi" w:eastAsia="Tahoma" w:hAnsiTheme="minorHAnsi" w:cstheme="minorHAnsi"/>
                    <w:b/>
                    <w:color w:val="4682B4"/>
                    <w:sz w:val="16"/>
                  </w:rPr>
                  <w:t>Cluster Performan</w:t>
                </w:r>
                <w:r w:rsidR="006048A2" w:rsidRPr="00B94BBA">
                  <w:rPr>
                    <w:rFonts w:asciiTheme="minorHAnsi" w:eastAsia="Tahoma" w:hAnsiTheme="minorHAnsi" w:cstheme="minorHAnsi"/>
                    <w:b/>
                    <w:color w:val="4682B4"/>
                    <w:sz w:val="16"/>
                  </w:rPr>
                  <w:t>ce Monitoring</w:t>
                </w:r>
              </w:p>
            </w:tc>
          </w:tr>
        </w:tbl>
        <w:p w:rsidR="002C3BB4" w:rsidRPr="00B94BBA" w:rsidRDefault="002C3BB4">
          <w:pPr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2928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2371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3132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772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40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708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638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  <w:tc>
        <w:tcPr>
          <w:tcW w:w="278" w:type="dxa"/>
        </w:tcPr>
        <w:p w:rsidR="002C3BB4" w:rsidRPr="00B94BBA" w:rsidRDefault="002C3BB4">
          <w:pPr>
            <w:pStyle w:val="EmptyCellLayoutStyle"/>
            <w:spacing w:after="0" w:line="240" w:lineRule="auto"/>
            <w:rPr>
              <w:rFonts w:asciiTheme="minorHAnsi" w:hAnsiTheme="minorHAnsi" w:cstheme="minorHAnsi"/>
            </w:rPr>
          </w:pPr>
        </w:p>
      </w:tc>
    </w:tr>
    <w:tr w:rsidR="002C3BB4">
      <w:tc>
        <w:tcPr>
          <w:tcW w:w="5085" w:type="dxa"/>
          <w:vMerge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92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37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2"/>
          </w:tblGrid>
          <w:tr w:rsidR="002C3BB4">
            <w:trPr>
              <w:trHeight w:val="205"/>
            </w:trPr>
            <w:tc>
              <w:tcPr>
                <w:tcW w:w="23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BB4" w:rsidRDefault="002C3BB4">
                <w:pPr>
                  <w:spacing w:after="0" w:line="240" w:lineRule="auto"/>
                </w:pPr>
              </w:p>
            </w:tc>
          </w:tr>
        </w:tbl>
        <w:p w:rsidR="002C3BB4" w:rsidRDefault="002C3BB4">
          <w:pPr>
            <w:spacing w:after="0" w:line="240" w:lineRule="auto"/>
          </w:pPr>
        </w:p>
      </w:tc>
      <w:tc>
        <w:tcPr>
          <w:tcW w:w="3132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72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63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70"/>
          </w:tblGrid>
          <w:tr w:rsidR="002C3BB4">
            <w:trPr>
              <w:trHeight w:val="205"/>
            </w:trPr>
            <w:tc>
              <w:tcPr>
                <w:tcW w:w="63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BB4" w:rsidRDefault="002C3BB4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16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fldChar w:fldCharType="separate"/>
                </w:r>
                <w:r w:rsidR="00B94BBA">
                  <w:rPr>
                    <w:rFonts w:ascii="Tahoma" w:eastAsia="Tahoma" w:hAnsi="Tahoma"/>
                    <w:b/>
                    <w:noProof/>
                    <w:color w:val="4682B4"/>
                    <w:sz w:val="16"/>
                  </w:rPr>
                  <w:t>6</w:t>
                </w: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fldChar w:fldCharType="end"/>
                </w:r>
              </w:p>
            </w:tc>
          </w:tr>
        </w:tbl>
        <w:p w:rsidR="002C3BB4" w:rsidRDefault="002C3BB4">
          <w:pPr>
            <w:spacing w:after="0" w:line="240" w:lineRule="auto"/>
          </w:pPr>
        </w:p>
      </w:tc>
      <w:tc>
        <w:tcPr>
          <w:tcW w:w="27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  <w:tr w:rsidR="002C3BB4">
      <w:tc>
        <w:tcPr>
          <w:tcW w:w="5085" w:type="dxa"/>
          <w:vMerge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92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371" w:type="dxa"/>
          <w:vMerge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3132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7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5"/>
          </w:tblGrid>
          <w:tr w:rsidR="002C3BB4">
            <w:trPr>
              <w:trHeight w:val="205"/>
            </w:trPr>
            <w:tc>
              <w:tcPr>
                <w:tcW w:w="7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BB4" w:rsidRDefault="002C3BB4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16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fldChar w:fldCharType="separate"/>
                </w:r>
                <w:r w:rsidR="00B94BBA">
                  <w:rPr>
                    <w:rFonts w:ascii="Tahoma" w:eastAsia="Tahoma" w:hAnsi="Tahoma"/>
                    <w:b/>
                    <w:noProof/>
                    <w:color w:val="4682B4"/>
                    <w:sz w:val="16"/>
                  </w:rPr>
                  <w:t>6</w:t>
                </w: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fldChar w:fldCharType="end"/>
                </w:r>
              </w:p>
            </w:tc>
          </w:tr>
        </w:tbl>
        <w:p w:rsidR="002C3BB4" w:rsidRDefault="002C3BB4">
          <w:pPr>
            <w:spacing w:after="0" w:line="240" w:lineRule="auto"/>
          </w:pPr>
        </w:p>
      </w:tc>
      <w:tc>
        <w:tcPr>
          <w:tcW w:w="40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6"/>
          </w:tblGrid>
          <w:tr w:rsidR="002C3BB4">
            <w:trPr>
              <w:trHeight w:val="205"/>
            </w:trPr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BB4" w:rsidRDefault="002C3BB4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4682B4"/>
                    <w:sz w:val="16"/>
                  </w:rPr>
                  <w:t>of</w:t>
                </w:r>
              </w:p>
            </w:tc>
          </w:tr>
        </w:tbl>
        <w:p w:rsidR="002C3BB4" w:rsidRDefault="002C3BB4">
          <w:pPr>
            <w:spacing w:after="0" w:line="240" w:lineRule="auto"/>
          </w:pPr>
        </w:p>
      </w:tc>
      <w:tc>
        <w:tcPr>
          <w:tcW w:w="638" w:type="dxa"/>
          <w:vMerge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7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  <w:tr w:rsidR="002C3BB4">
      <w:tc>
        <w:tcPr>
          <w:tcW w:w="5085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92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371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3132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72" w:type="dxa"/>
          <w:vMerge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08" w:type="dxa"/>
          <w:vMerge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63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7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  <w:tr w:rsidR="002C3BB4">
      <w:tc>
        <w:tcPr>
          <w:tcW w:w="5085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92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371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3132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72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63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278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8D" w:rsidRDefault="00D11F8D">
      <w:pPr>
        <w:spacing w:after="0" w:line="240" w:lineRule="auto"/>
      </w:pPr>
      <w:r>
        <w:separator/>
      </w:r>
    </w:p>
  </w:footnote>
  <w:footnote w:type="continuationSeparator" w:id="0">
    <w:p w:rsidR="00D11F8D" w:rsidRDefault="00D1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7857"/>
    </w:tblGrid>
    <w:tr w:rsidR="002C3BB4">
      <w:tc>
        <w:tcPr>
          <w:tcW w:w="2916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13041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  <w:tr w:rsidR="002C3BB4">
      <w:tc>
        <w:tcPr>
          <w:tcW w:w="291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C3BB4" w:rsidRDefault="002C3BB4">
          <w:pPr>
            <w:spacing w:after="0" w:line="240" w:lineRule="auto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51905" cy="720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 r="92286" b="77514"/>
                        </a:stretch>
                      </pic:blipFill>
                      <pic:spPr>
                        <a:xfrm>
                          <a:off x="0" y="0"/>
                          <a:ext cx="185190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  <w:tr w:rsidR="002C3BB4">
      <w:tc>
        <w:tcPr>
          <w:tcW w:w="2916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  <w:tc>
        <w:tcPr>
          <w:tcW w:w="13041" w:type="dxa"/>
        </w:tcPr>
        <w:p w:rsidR="002C3BB4" w:rsidRDefault="002C3B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2"/>
    <w:rsid w:val="00074412"/>
    <w:rsid w:val="0016761F"/>
    <w:rsid w:val="0026733E"/>
    <w:rsid w:val="002C3BB4"/>
    <w:rsid w:val="004E2835"/>
    <w:rsid w:val="00580B40"/>
    <w:rsid w:val="006048A2"/>
    <w:rsid w:val="007E3ABC"/>
    <w:rsid w:val="00873D89"/>
    <w:rsid w:val="00907DC0"/>
    <w:rsid w:val="00932491"/>
    <w:rsid w:val="009C6091"/>
    <w:rsid w:val="00A86270"/>
    <w:rsid w:val="00B94BBA"/>
    <w:rsid w:val="00BC66F8"/>
    <w:rsid w:val="00C40F09"/>
    <w:rsid w:val="00C61E6A"/>
    <w:rsid w:val="00CF742E"/>
    <w:rsid w:val="00D11F8D"/>
    <w:rsid w:val="00D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9FBC"/>
  <w15:docId w15:val="{81BB7585-4EB3-4DCA-BB92-7DC6439E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0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A2"/>
  </w:style>
  <w:style w:type="paragraph" w:styleId="Footer">
    <w:name w:val="footer"/>
    <w:basedOn w:val="Normal"/>
    <w:link w:val="FooterChar"/>
    <w:uiPriority w:val="99"/>
    <w:unhideWhenUsed/>
    <w:rsid w:val="0060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A2"/>
  </w:style>
  <w:style w:type="paragraph" w:styleId="BalloonText">
    <w:name w:val="Balloon Text"/>
    <w:basedOn w:val="Normal"/>
    <w:link w:val="BalloonTextChar"/>
    <w:uiPriority w:val="99"/>
    <w:semiHidden/>
    <w:unhideWhenUsed/>
    <w:rsid w:val="00B9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8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233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0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93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73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9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1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9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66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34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723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8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03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9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242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8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67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97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08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NCC - 5.2. CCPM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EMOPSGCCU-1435067120-18459</_dlc_DocId>
    <_dlc_DocIdUrl xmlns="5858627f-d058-4b92-9b52-677b5fd7d454">
      <Url>https://unicef.sharepoint.com/teams/EMOPS-GCCU/_layouts/15/DocIdRedir.aspx?ID=EMOPSGCCU-1435067120-18459</Url>
      <Description>EMOPSGCCU-1435067120-18459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23AE0A-4E0F-4CCE-8F0C-42D857A132AE}"/>
</file>

<file path=customXml/itemProps2.xml><?xml version="1.0" encoding="utf-8"?>
<ds:datastoreItem xmlns:ds="http://schemas.openxmlformats.org/officeDocument/2006/customXml" ds:itemID="{9CB7013B-AB67-4993-B47D-580A63DDA21B}"/>
</file>

<file path=customXml/itemProps3.xml><?xml version="1.0" encoding="utf-8"?>
<ds:datastoreItem xmlns:ds="http://schemas.openxmlformats.org/officeDocument/2006/customXml" ds:itemID="{D7F60F77-FFBC-4EDC-A555-85F1A917FBFF}"/>
</file>

<file path=customXml/itemProps4.xml><?xml version="1.0" encoding="utf-8"?>
<ds:datastoreItem xmlns:ds="http://schemas.openxmlformats.org/officeDocument/2006/customXml" ds:itemID="{0C4857DA-91CE-4747-9175-B25172892E84}"/>
</file>

<file path=customXml/itemProps5.xml><?xml version="1.0" encoding="utf-8"?>
<ds:datastoreItem xmlns:ds="http://schemas.openxmlformats.org/officeDocument/2006/customXml" ds:itemID="{262057E8-79DD-4A74-A302-B83C39759D03}"/>
</file>

<file path=customXml/itemProps6.xml><?xml version="1.0" encoding="utf-8"?>
<ds:datastoreItem xmlns:ds="http://schemas.openxmlformats.org/officeDocument/2006/customXml" ds:itemID="{93CA2D66-E71C-4C8B-800F-EFD9B6D82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IIM_CoordinationPerformance</vt:lpstr>
    </vt:vector>
  </TitlesOfParts>
  <Company>UNICEF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IIM_CoordinationPerformance</dc:title>
  <dc:creator>Ayadil Saparbekov</dc:creator>
  <cp:keywords>GNC; Training; NCC</cp:keywords>
  <dc:description/>
  <cp:lastModifiedBy>Kelly Wooster</cp:lastModifiedBy>
  <cp:revision>4</cp:revision>
  <cp:lastPrinted>2017-10-20T16:04:00Z</cp:lastPrinted>
  <dcterms:created xsi:type="dcterms:W3CDTF">2014-05-01T15:40:00Z</dcterms:created>
  <dcterms:modified xsi:type="dcterms:W3CDTF">2017-10-20T16:11:00Z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8c91dcc6-7aed-412e-ac2d-892f3cfb5626</vt:lpwstr>
  </property>
</Properties>
</file>