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294B" w14:textId="77777777" w:rsidR="00770E1B" w:rsidRDefault="00770E1B" w:rsidP="0077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</w:pPr>
      <w:bookmarkStart w:id="0" w:name="_GoBack"/>
      <w:bookmarkEnd w:id="0"/>
    </w:p>
    <w:p w14:paraId="3442FD36" w14:textId="77777777" w:rsidR="00770E1B" w:rsidRDefault="00770E1B" w:rsidP="0077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</w:pPr>
    </w:p>
    <w:p w14:paraId="08F8C7BA" w14:textId="77777777" w:rsidR="00770E1B" w:rsidRPr="00770E1B" w:rsidRDefault="00770E1B" w:rsidP="00770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</w:pPr>
      <w:r w:rsidRPr="00770E1B"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  <w:t>Défis comm</w:t>
      </w:r>
      <w:r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  <w:t>uns et éléments à prendre en considération</w:t>
      </w:r>
      <w:r w:rsidRPr="00770E1B">
        <w:rPr>
          <w:rFonts w:ascii="inherit" w:eastAsia="Times New Roman" w:hAnsi="inherit" w:cs="Courier New"/>
          <w:b/>
          <w:color w:val="212121"/>
          <w:sz w:val="24"/>
          <w:szCs w:val="24"/>
          <w:lang w:val="fr-FR" w:eastAsia="en-GB"/>
        </w:rPr>
        <w:t xml:space="preserve"> lors de la mise en place de systèmes de suivi</w:t>
      </w:r>
    </w:p>
    <w:p w14:paraId="4B12EC82" w14:textId="77777777" w:rsidR="00770E1B" w:rsidRDefault="00770E1B" w:rsidP="00DE4855">
      <w:pPr>
        <w:spacing w:after="0"/>
        <w:rPr>
          <w:lang w:val="fr-FR"/>
        </w:rPr>
      </w:pPr>
    </w:p>
    <w:tbl>
      <w:tblPr>
        <w:tblStyle w:val="TableGrid"/>
        <w:tblpPr w:leftFromText="180" w:rightFromText="180" w:vertAnchor="page" w:horzAnchor="margin" w:tblpX="-601" w:tblpY="3050"/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770E1B" w:rsidRPr="00DE4855" w14:paraId="1B7168F9" w14:textId="77777777" w:rsidTr="00DE4855">
        <w:tc>
          <w:tcPr>
            <w:tcW w:w="4361" w:type="dxa"/>
            <w:shd w:val="clear" w:color="auto" w:fill="C2D69B" w:themeFill="accent3" w:themeFillTint="99"/>
          </w:tcPr>
          <w:p w14:paraId="30080B13" w14:textId="290EBF9D" w:rsidR="00770E1B" w:rsidRPr="00770E1B" w:rsidRDefault="00770E1B" w:rsidP="0097278C">
            <w:pPr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70E1B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Défis </w:t>
            </w:r>
            <w:r w:rsidR="008164D8">
              <w:rPr>
                <w:rFonts w:ascii="Cambria" w:hAnsi="Cambria"/>
                <w:b/>
                <w:sz w:val="22"/>
                <w:szCs w:val="22"/>
                <w:lang w:val="fr-FR"/>
              </w:rPr>
              <w:t>posés par l</w:t>
            </w:r>
            <w:r w:rsidRPr="00770E1B">
              <w:rPr>
                <w:rFonts w:ascii="Cambria" w:hAnsi="Cambria"/>
                <w:b/>
                <w:sz w:val="22"/>
                <w:szCs w:val="22"/>
                <w:lang w:val="fr-FR"/>
              </w:rPr>
              <w:t>es systèmes de suivi</w:t>
            </w:r>
          </w:p>
        </w:tc>
        <w:tc>
          <w:tcPr>
            <w:tcW w:w="6095" w:type="dxa"/>
            <w:shd w:val="clear" w:color="auto" w:fill="C2D69B" w:themeFill="accent3" w:themeFillTint="99"/>
          </w:tcPr>
          <w:p w14:paraId="3F9D9532" w14:textId="35D9C1DA" w:rsidR="00770E1B" w:rsidRPr="00770E1B" w:rsidRDefault="008164D8" w:rsidP="0097278C">
            <w:pPr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b/>
                <w:sz w:val="22"/>
                <w:szCs w:val="22"/>
                <w:lang w:val="fr-FR"/>
              </w:rPr>
              <w:t>Éléments à</w:t>
            </w:r>
            <w:r w:rsidR="00770E1B" w:rsidRPr="00770E1B">
              <w:rPr>
                <w:rFonts w:ascii="Cambria" w:hAnsi="Cambria"/>
                <w:b/>
                <w:sz w:val="22"/>
                <w:szCs w:val="22"/>
                <w:lang w:val="fr-FR"/>
              </w:rPr>
              <w:t xml:space="preserve"> prendre en considération</w:t>
            </w:r>
          </w:p>
        </w:tc>
      </w:tr>
      <w:tr w:rsidR="00770E1B" w:rsidRPr="00DE4855" w14:paraId="3F44B9BB" w14:textId="77777777" w:rsidTr="00DE4855">
        <w:trPr>
          <w:trHeight w:val="11395"/>
        </w:trPr>
        <w:tc>
          <w:tcPr>
            <w:tcW w:w="4361" w:type="dxa"/>
          </w:tcPr>
          <w:p w14:paraId="68D4C8B5" w14:textId="77777777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 xml:space="preserve">• Une tendance à se concentrer sur </w:t>
            </w:r>
            <w:r>
              <w:rPr>
                <w:lang w:val="fr-FR"/>
              </w:rPr>
              <w:t xml:space="preserve">le suivi de </w:t>
            </w:r>
            <w:r w:rsidRPr="00750FEF">
              <w:rPr>
                <w:lang w:val="fr-FR"/>
              </w:rPr>
              <w:t xml:space="preserve">la situation et </w:t>
            </w:r>
            <w:r>
              <w:rPr>
                <w:lang w:val="fr-FR"/>
              </w:rPr>
              <w:t xml:space="preserve">des progrès, </w:t>
            </w:r>
            <w:r w:rsidRPr="00750FEF">
              <w:rPr>
                <w:lang w:val="fr-FR"/>
              </w:rPr>
              <w:t xml:space="preserve">plutôt que </w:t>
            </w:r>
            <w:r>
              <w:rPr>
                <w:lang w:val="fr-FR"/>
              </w:rPr>
              <w:t xml:space="preserve">sur </w:t>
            </w:r>
            <w:r w:rsidRPr="00750FEF">
              <w:rPr>
                <w:lang w:val="fr-FR"/>
              </w:rPr>
              <w:t>les résultats et l'impact.</w:t>
            </w:r>
          </w:p>
          <w:p w14:paraId="4624C70F" w14:textId="77777777" w:rsidR="00770E1B" w:rsidRPr="00750FEF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>• Faiblesse d</w:t>
            </w:r>
            <w:r w:rsidRPr="00750FEF">
              <w:rPr>
                <w:lang w:val="fr-FR"/>
              </w:rPr>
              <w:t xml:space="preserve">es liens entre </w:t>
            </w:r>
            <w:r>
              <w:rPr>
                <w:lang w:val="fr-FR"/>
              </w:rPr>
              <w:t>le suivi de la situation et la soumission de rapports réguliers se référant aux</w:t>
            </w:r>
            <w:r w:rsidRPr="00750FEF">
              <w:rPr>
                <w:lang w:val="fr-FR"/>
              </w:rPr>
              <w:t xml:space="preserve"> indicateurs standards</w:t>
            </w:r>
            <w:r>
              <w:rPr>
                <w:lang w:val="fr-FR"/>
              </w:rPr>
              <w:t>. Ainsi,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l’accent est mis</w:t>
            </w:r>
            <w:r w:rsidRPr="00750FEF">
              <w:rPr>
                <w:lang w:val="fr-FR"/>
              </w:rPr>
              <w:t xml:space="preserve"> su</w:t>
            </w:r>
            <w:r>
              <w:rPr>
                <w:lang w:val="fr-FR"/>
              </w:rPr>
              <w:t xml:space="preserve">r la réalisation </w:t>
            </w:r>
            <w:r w:rsidRPr="00750FEF">
              <w:rPr>
                <w:lang w:val="fr-FR"/>
              </w:rPr>
              <w:t>des activités prévues sans référence au</w:t>
            </w:r>
            <w:r>
              <w:rPr>
                <w:lang w:val="fr-FR"/>
              </w:rPr>
              <w:t>x changements de</w:t>
            </w:r>
            <w:r w:rsidRPr="00750FEF">
              <w:rPr>
                <w:lang w:val="fr-FR"/>
              </w:rPr>
              <w:t xml:space="preserve"> contexte.</w:t>
            </w:r>
          </w:p>
          <w:p w14:paraId="0BF5553B" w14:textId="77777777" w:rsidR="00770E1B" w:rsidRPr="00750FEF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>• P</w:t>
            </w:r>
            <w:r w:rsidRPr="00750FEF">
              <w:rPr>
                <w:lang w:val="fr-FR"/>
              </w:rPr>
              <w:t>articipation insuffisante des parties pre</w:t>
            </w:r>
            <w:r>
              <w:rPr>
                <w:lang w:val="fr-FR"/>
              </w:rPr>
              <w:t>nantes du cluster Nutrition et d</w:t>
            </w:r>
            <w:r w:rsidRPr="00750FEF">
              <w:rPr>
                <w:lang w:val="fr-FR"/>
              </w:rPr>
              <w:t>es communautés affectées dans le développement du système de su</w:t>
            </w:r>
            <w:r>
              <w:rPr>
                <w:lang w:val="fr-FR"/>
              </w:rPr>
              <w:t>ivi ou pour l’utilisation des</w:t>
            </w:r>
            <w:r w:rsidRPr="00750FEF">
              <w:rPr>
                <w:lang w:val="fr-FR"/>
              </w:rPr>
              <w:t xml:space="preserve"> informations recueillies.</w:t>
            </w:r>
          </w:p>
          <w:p w14:paraId="5DD3768C" w14:textId="77777777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 xml:space="preserve">• </w:t>
            </w:r>
            <w:r>
              <w:rPr>
                <w:lang w:val="fr-FR"/>
              </w:rPr>
              <w:t xml:space="preserve">Doublons </w:t>
            </w:r>
            <w:r w:rsidRPr="00750FEF">
              <w:rPr>
                <w:lang w:val="fr-FR"/>
              </w:rPr>
              <w:t>dans la collecte d'informations.</w:t>
            </w:r>
          </w:p>
          <w:p w14:paraId="1477C8F5" w14:textId="77777777" w:rsidR="00770E1B" w:rsidRPr="00750FEF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 xml:space="preserve">• Difficulté </w:t>
            </w:r>
            <w:r w:rsidRPr="00750FEF">
              <w:rPr>
                <w:lang w:val="fr-FR"/>
              </w:rPr>
              <w:t>à</w:t>
            </w:r>
            <w:r>
              <w:rPr>
                <w:lang w:val="fr-FR"/>
              </w:rPr>
              <w:t xml:space="preserve"> se mettre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d’</w:t>
            </w:r>
            <w:r w:rsidRPr="00750FEF">
              <w:rPr>
                <w:lang w:val="fr-FR"/>
              </w:rPr>
              <w:t xml:space="preserve">accord </w:t>
            </w:r>
            <w:r>
              <w:rPr>
                <w:lang w:val="fr-FR"/>
              </w:rPr>
              <w:t>pour</w:t>
            </w:r>
            <w:r w:rsidRPr="00750FEF">
              <w:rPr>
                <w:lang w:val="fr-FR"/>
              </w:rPr>
              <w:t xml:space="preserve"> utiliser</w:t>
            </w:r>
            <w:r>
              <w:rPr>
                <w:lang w:val="fr-FR"/>
              </w:rPr>
              <w:t xml:space="preserve"> des </w:t>
            </w:r>
            <w:r w:rsidRPr="00750FEF">
              <w:rPr>
                <w:lang w:val="fr-FR"/>
              </w:rPr>
              <w:t xml:space="preserve">outils et des </w:t>
            </w:r>
            <w:r>
              <w:rPr>
                <w:lang w:val="fr-FR"/>
              </w:rPr>
              <w:t xml:space="preserve">méthodes de suivi </w:t>
            </w:r>
            <w:r w:rsidRPr="00750FEF">
              <w:rPr>
                <w:lang w:val="fr-FR"/>
              </w:rPr>
              <w:t>communs.</w:t>
            </w:r>
          </w:p>
          <w:p w14:paraId="5265084A" w14:textId="461E8CB3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>• Collecte de mauvaise</w:t>
            </w:r>
            <w:r w:rsidR="008164D8">
              <w:rPr>
                <w:lang w:val="fr-FR"/>
              </w:rPr>
              <w:t>s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information</w:t>
            </w:r>
            <w:r w:rsidR="008164D8">
              <w:rPr>
                <w:lang w:val="fr-FR"/>
              </w:rPr>
              <w:t>s</w:t>
            </w:r>
            <w:r w:rsidRPr="00750FEF">
              <w:rPr>
                <w:lang w:val="fr-FR"/>
              </w:rPr>
              <w:t xml:space="preserve"> de base ou </w:t>
            </w:r>
            <w:r>
              <w:rPr>
                <w:lang w:val="fr-FR"/>
              </w:rPr>
              <w:t>d’information</w:t>
            </w:r>
            <w:r w:rsidR="008164D8">
              <w:rPr>
                <w:lang w:val="fr-FR"/>
              </w:rPr>
              <w:t>s</w:t>
            </w:r>
            <w:r>
              <w:rPr>
                <w:lang w:val="fr-FR"/>
              </w:rPr>
              <w:t xml:space="preserve"> </w:t>
            </w:r>
            <w:r w:rsidRPr="00750FEF">
              <w:rPr>
                <w:lang w:val="fr-FR"/>
              </w:rPr>
              <w:t>inadéquate</w:t>
            </w:r>
            <w:r w:rsidR="008164D8">
              <w:rPr>
                <w:lang w:val="fr-FR"/>
              </w:rPr>
              <w:t>s</w:t>
            </w:r>
            <w:r w:rsidRPr="00750FEF">
              <w:rPr>
                <w:lang w:val="fr-FR"/>
              </w:rPr>
              <w:t xml:space="preserve">, </w:t>
            </w:r>
            <w:r>
              <w:rPr>
                <w:lang w:val="fr-FR"/>
              </w:rPr>
              <w:t>empêchant l’</w:t>
            </w:r>
            <w:r w:rsidRPr="00750FEF">
              <w:rPr>
                <w:lang w:val="fr-FR"/>
              </w:rPr>
              <w:t xml:space="preserve">évaluation </w:t>
            </w:r>
            <w:r>
              <w:rPr>
                <w:lang w:val="fr-FR"/>
              </w:rPr>
              <w:t xml:space="preserve">efficace </w:t>
            </w:r>
            <w:r w:rsidRPr="00750FEF">
              <w:rPr>
                <w:lang w:val="fr-FR"/>
              </w:rPr>
              <w:t>des progrès accomplis.</w:t>
            </w:r>
          </w:p>
          <w:p w14:paraId="08FBDBF3" w14:textId="1D0899A7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 xml:space="preserve">• </w:t>
            </w:r>
            <w:r>
              <w:rPr>
                <w:lang w:val="fr-FR"/>
              </w:rPr>
              <w:t xml:space="preserve">Des indicateurs mal définis, inadéquats </w:t>
            </w:r>
            <w:r w:rsidRPr="00750FEF">
              <w:rPr>
                <w:lang w:val="fr-FR"/>
              </w:rPr>
              <w:t>ou trop</w:t>
            </w:r>
            <w:r>
              <w:rPr>
                <w:lang w:val="fr-FR"/>
              </w:rPr>
              <w:t xml:space="preserve"> nombreux pour le </w:t>
            </w:r>
            <w:r w:rsidRPr="00750FEF">
              <w:rPr>
                <w:lang w:val="fr-FR"/>
              </w:rPr>
              <w:t>su</w:t>
            </w:r>
            <w:r>
              <w:rPr>
                <w:lang w:val="fr-FR"/>
              </w:rPr>
              <w:t>ivi</w:t>
            </w:r>
            <w:r w:rsidRPr="00750FEF">
              <w:rPr>
                <w:lang w:val="fr-FR"/>
              </w:rPr>
              <w:t xml:space="preserve"> de tous les aspects</w:t>
            </w:r>
            <w:r>
              <w:rPr>
                <w:lang w:val="fr-FR"/>
              </w:rPr>
              <w:t xml:space="preserve"> </w:t>
            </w:r>
            <w:r w:rsidRPr="00750FEF">
              <w:rPr>
                <w:lang w:val="fr-FR"/>
              </w:rPr>
              <w:t xml:space="preserve">de </w:t>
            </w:r>
            <w:r w:rsidR="008164D8">
              <w:rPr>
                <w:lang w:val="fr-FR"/>
              </w:rPr>
              <w:t>l’intervention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du </w:t>
            </w:r>
            <w:r w:rsidRPr="00750FEF">
              <w:rPr>
                <w:lang w:val="fr-FR"/>
              </w:rPr>
              <w:t>Cluster Nutrition.</w:t>
            </w:r>
          </w:p>
          <w:p w14:paraId="41319D51" w14:textId="77777777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 xml:space="preserve">• </w:t>
            </w:r>
            <w:r>
              <w:rPr>
                <w:lang w:val="fr-FR"/>
              </w:rPr>
              <w:t>Un manque, ou</w:t>
            </w:r>
            <w:r w:rsidRPr="00750FEF">
              <w:rPr>
                <w:lang w:val="fr-FR"/>
              </w:rPr>
              <w:t xml:space="preserve"> </w:t>
            </w:r>
            <w:r w:rsidR="004A19FE">
              <w:rPr>
                <w:lang w:val="fr-FR"/>
              </w:rPr>
              <w:t xml:space="preserve">une mauvaise collecte, </w:t>
            </w:r>
            <w:r>
              <w:rPr>
                <w:lang w:val="fr-FR"/>
              </w:rPr>
              <w:t>de données ventilées par sexe et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par âge</w:t>
            </w:r>
            <w:r w:rsidR="004A19FE">
              <w:rPr>
                <w:lang w:val="fr-FR"/>
              </w:rPr>
              <w:t>, ou une mauvaise analyse du genre</w:t>
            </w:r>
            <w:r w:rsidRPr="00750FEF">
              <w:rPr>
                <w:lang w:val="fr-FR"/>
              </w:rPr>
              <w:t>.</w:t>
            </w:r>
          </w:p>
          <w:p w14:paraId="276D146E" w14:textId="77777777" w:rsidR="00770E1B" w:rsidRPr="00750FEF" w:rsidRDefault="00770E1B" w:rsidP="0097278C">
            <w:pPr>
              <w:rPr>
                <w:lang w:val="fr-FR"/>
              </w:rPr>
            </w:pPr>
            <w:r w:rsidRPr="00750FEF">
              <w:rPr>
                <w:lang w:val="fr-FR"/>
              </w:rPr>
              <w:t xml:space="preserve">• </w:t>
            </w:r>
            <w:r>
              <w:rPr>
                <w:lang w:val="fr-FR"/>
              </w:rPr>
              <w:t>Lacunes en termes de suivi des objectifs</w:t>
            </w:r>
            <w:r w:rsidRPr="00750FEF">
              <w:rPr>
                <w:lang w:val="fr-FR"/>
              </w:rPr>
              <w:t xml:space="preserve"> / indicateurs </w:t>
            </w:r>
            <w:r>
              <w:rPr>
                <w:lang w:val="fr-FR"/>
              </w:rPr>
              <w:t>qui</w:t>
            </w:r>
            <w:r w:rsidR="004A19FE">
              <w:rPr>
                <w:lang w:val="fr-FR"/>
              </w:rPr>
              <w:t xml:space="preserve"> </w:t>
            </w:r>
            <w:r w:rsidRPr="00750FEF">
              <w:rPr>
                <w:lang w:val="fr-FR"/>
              </w:rPr>
              <w:t>ne sont pas liés à des objectifs stratégique</w:t>
            </w:r>
            <w:r>
              <w:rPr>
                <w:lang w:val="fr-FR"/>
              </w:rPr>
              <w:t>s</w:t>
            </w:r>
            <w:r w:rsidRPr="00750FEF">
              <w:rPr>
                <w:lang w:val="fr-FR"/>
              </w:rPr>
              <w:t xml:space="preserve"> / </w:t>
            </w:r>
            <w:r>
              <w:rPr>
                <w:lang w:val="fr-FR"/>
              </w:rPr>
              <w:t xml:space="preserve">de </w:t>
            </w:r>
            <w:r w:rsidRPr="00750FEF">
              <w:rPr>
                <w:lang w:val="fr-FR"/>
              </w:rPr>
              <w:t>financement</w:t>
            </w:r>
            <w:r>
              <w:rPr>
                <w:lang w:val="fr-FR"/>
              </w:rPr>
              <w:t xml:space="preserve"> </w:t>
            </w:r>
            <w:r w:rsidRPr="00750FEF">
              <w:rPr>
                <w:lang w:val="fr-FR"/>
              </w:rPr>
              <w:t>plus larges.</w:t>
            </w:r>
          </w:p>
        </w:tc>
        <w:tc>
          <w:tcPr>
            <w:tcW w:w="6095" w:type="dxa"/>
          </w:tcPr>
          <w:p w14:paraId="1EB577EF" w14:textId="6DFB6159" w:rsidR="00770E1B" w:rsidRPr="00B45543" w:rsidRDefault="00770E1B" w:rsidP="0097278C">
            <w:pPr>
              <w:rPr>
                <w:lang w:val="fr-FR"/>
              </w:rPr>
            </w:pPr>
            <w:r w:rsidRPr="00B45543">
              <w:rPr>
                <w:lang w:val="fr-FR"/>
              </w:rPr>
              <w:t xml:space="preserve">•Veiller à </w:t>
            </w:r>
            <w:r>
              <w:rPr>
                <w:lang w:val="fr-FR"/>
              </w:rPr>
              <w:t xml:space="preserve">faire </w:t>
            </w:r>
            <w:r w:rsidRPr="004A19FE">
              <w:rPr>
                <w:b/>
                <w:lang w:val="fr-FR"/>
              </w:rPr>
              <w:t>le lien</w:t>
            </w:r>
            <w:r>
              <w:rPr>
                <w:lang w:val="fr-FR"/>
              </w:rPr>
              <w:t xml:space="preserve"> avec la composante </w:t>
            </w:r>
            <w:r w:rsidR="008164D8">
              <w:rPr>
                <w:lang w:val="fr-FR"/>
              </w:rPr>
              <w:t>é</w:t>
            </w:r>
            <w:r w:rsidRPr="00B45543">
              <w:rPr>
                <w:lang w:val="fr-FR"/>
              </w:rPr>
              <w:t>valuation du système de S &amp; E</w:t>
            </w:r>
            <w:r w:rsidR="008164D8">
              <w:rPr>
                <w:lang w:val="fr-FR"/>
              </w:rPr>
              <w:t xml:space="preserve"> (suivi et </w:t>
            </w:r>
            <w:r w:rsidR="008164D8" w:rsidRPr="008164D8">
              <w:rPr>
                <w:lang w:val="fr-FR"/>
              </w:rPr>
              <w:t>évaluation</w:t>
            </w:r>
            <w:r w:rsidR="008164D8">
              <w:rPr>
                <w:lang w:val="fr-FR"/>
              </w:rPr>
              <w:t>)</w:t>
            </w:r>
            <w:r w:rsidRPr="00B45543">
              <w:rPr>
                <w:lang w:val="fr-FR"/>
              </w:rPr>
              <w:t>,</w:t>
            </w:r>
            <w:r>
              <w:rPr>
                <w:lang w:val="fr-FR"/>
              </w:rPr>
              <w:t xml:space="preserve"> en termes d'indicateurs et d’informations recueilli</w:t>
            </w:r>
            <w:r w:rsidRPr="00B45543">
              <w:rPr>
                <w:lang w:val="fr-FR"/>
              </w:rPr>
              <w:t xml:space="preserve">s </w:t>
            </w:r>
            <w:r>
              <w:rPr>
                <w:lang w:val="fr-FR"/>
              </w:rPr>
              <w:t>lors du suivi</w:t>
            </w:r>
            <w:r w:rsidRPr="00B45543">
              <w:rPr>
                <w:lang w:val="fr-FR"/>
              </w:rPr>
              <w:t xml:space="preserve"> de routine.</w:t>
            </w:r>
          </w:p>
          <w:p w14:paraId="32C6D99A" w14:textId="414AF3EC" w:rsidR="00770E1B" w:rsidRPr="00B45543" w:rsidRDefault="00770E1B" w:rsidP="0097278C">
            <w:pPr>
              <w:rPr>
                <w:lang w:val="fr-FR"/>
              </w:rPr>
            </w:pPr>
            <w:r w:rsidRPr="00B45543">
              <w:rPr>
                <w:lang w:val="fr-FR"/>
              </w:rPr>
              <w:t xml:space="preserve">• Accord </w:t>
            </w:r>
            <w:r>
              <w:rPr>
                <w:lang w:val="fr-FR"/>
              </w:rPr>
              <w:t>général</w:t>
            </w:r>
            <w:r w:rsidRPr="00B45543">
              <w:rPr>
                <w:lang w:val="fr-FR"/>
              </w:rPr>
              <w:t xml:space="preserve"> au sein du Cluster Nutrition </w:t>
            </w:r>
            <w:r>
              <w:rPr>
                <w:lang w:val="fr-FR"/>
              </w:rPr>
              <w:t>concernant</w:t>
            </w:r>
            <w:r w:rsidRPr="00B45543">
              <w:rPr>
                <w:lang w:val="fr-FR"/>
              </w:rPr>
              <w:t xml:space="preserve"> </w:t>
            </w:r>
            <w:r>
              <w:rPr>
                <w:lang w:val="fr-FR"/>
              </w:rPr>
              <w:t>l’utilisation</w:t>
            </w:r>
            <w:r w:rsidRPr="00B4554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besoins en </w:t>
            </w:r>
            <w:r w:rsidRPr="004A19FE">
              <w:rPr>
                <w:b/>
                <w:lang w:val="fr-FR"/>
              </w:rPr>
              <w:t>information</w:t>
            </w:r>
            <w:r w:rsidR="008164D8">
              <w:rPr>
                <w:b/>
                <w:lang w:val="fr-FR"/>
              </w:rPr>
              <w:t>s</w:t>
            </w:r>
            <w:r w:rsidRPr="004A19FE">
              <w:rPr>
                <w:b/>
                <w:lang w:val="fr-FR"/>
              </w:rPr>
              <w:t>,</w:t>
            </w:r>
            <w:r w:rsidRPr="00B45543">
              <w:rPr>
                <w:lang w:val="fr-FR"/>
              </w:rPr>
              <w:t xml:space="preserve"> so</w:t>
            </w:r>
            <w:r>
              <w:rPr>
                <w:lang w:val="fr-FR"/>
              </w:rPr>
              <w:t xml:space="preserve">urces et </w:t>
            </w:r>
            <w:r w:rsidR="0097278C" w:rsidRPr="00B45543">
              <w:rPr>
                <w:lang w:val="fr-FR"/>
              </w:rPr>
              <w:t xml:space="preserve">indicateurs </w:t>
            </w:r>
            <w:r w:rsidR="0097278C" w:rsidRPr="0097278C">
              <w:rPr>
                <w:lang w:val="fr-FR"/>
              </w:rPr>
              <w:t>standardisés</w:t>
            </w:r>
            <w:r w:rsidR="008164D8">
              <w:rPr>
                <w:lang w:val="fr-FR"/>
              </w:rPr>
              <w:t>,</w:t>
            </w:r>
            <w:r w:rsidR="008164D8" w:rsidRPr="008164D8">
              <w:rPr>
                <w:lang w:val="fr-FR"/>
              </w:rPr>
              <w:t xml:space="preserve"> </w:t>
            </w:r>
            <w:r w:rsidR="008164D8">
              <w:rPr>
                <w:lang w:val="fr-FR"/>
              </w:rPr>
              <w:t>comme ils sont</w:t>
            </w:r>
            <w:r w:rsidRPr="00B45543">
              <w:rPr>
                <w:lang w:val="fr-FR"/>
              </w:rPr>
              <w:t xml:space="preserve"> clairemen</w:t>
            </w:r>
            <w:r>
              <w:rPr>
                <w:lang w:val="fr-FR"/>
              </w:rPr>
              <w:t xml:space="preserve">t énoncés dans les </w:t>
            </w:r>
            <w:proofErr w:type="spellStart"/>
            <w:r>
              <w:rPr>
                <w:lang w:val="fr-FR"/>
              </w:rPr>
              <w:t>TdR</w:t>
            </w:r>
            <w:proofErr w:type="spellEnd"/>
            <w:r>
              <w:rPr>
                <w:lang w:val="fr-FR"/>
              </w:rPr>
              <w:t xml:space="preserve"> / les </w:t>
            </w:r>
            <w:r w:rsidRPr="00B45543">
              <w:rPr>
                <w:lang w:val="fr-FR"/>
              </w:rPr>
              <w:t>P</w:t>
            </w:r>
            <w:r>
              <w:rPr>
                <w:lang w:val="fr-FR"/>
              </w:rPr>
              <w:t>OS</w:t>
            </w:r>
            <w:r w:rsidRPr="00B4554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(procédures opérationnelles standards) </w:t>
            </w:r>
            <w:r w:rsidRPr="00B45543">
              <w:rPr>
                <w:lang w:val="fr-FR"/>
              </w:rPr>
              <w:t>du cluster.</w:t>
            </w:r>
          </w:p>
          <w:p w14:paraId="1196B141" w14:textId="77777777" w:rsidR="00770E1B" w:rsidRPr="00B45543" w:rsidRDefault="004A19FE" w:rsidP="0097278C">
            <w:pPr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r w:rsidR="00770E1B">
              <w:rPr>
                <w:lang w:val="fr-FR"/>
              </w:rPr>
              <w:t>S’assurer</w:t>
            </w:r>
            <w:r w:rsidR="00770E1B" w:rsidRPr="00B45543">
              <w:rPr>
                <w:lang w:val="fr-FR"/>
              </w:rPr>
              <w:t xml:space="preserve"> que les </w:t>
            </w:r>
            <w:r w:rsidR="00770E1B" w:rsidRPr="004A19FE">
              <w:rPr>
                <w:b/>
                <w:lang w:val="fr-FR"/>
              </w:rPr>
              <w:t>indicateurs reflètent les besoins prioritaires</w:t>
            </w:r>
            <w:r w:rsidR="00770E1B" w:rsidRPr="00B45543">
              <w:rPr>
                <w:lang w:val="fr-FR"/>
              </w:rPr>
              <w:t xml:space="preserve"> et sont pertinents</w:t>
            </w:r>
            <w:r w:rsidR="00770E1B">
              <w:rPr>
                <w:lang w:val="fr-FR"/>
              </w:rPr>
              <w:t>, dans la mesure du possible,</w:t>
            </w:r>
            <w:r w:rsidR="00770E1B" w:rsidRPr="00B45543">
              <w:rPr>
                <w:lang w:val="fr-FR"/>
              </w:rPr>
              <w:t xml:space="preserve"> pour le</w:t>
            </w:r>
            <w:r w:rsidR="00770E1B">
              <w:rPr>
                <w:lang w:val="fr-FR"/>
              </w:rPr>
              <w:t>s priorités au niveau national.</w:t>
            </w:r>
          </w:p>
          <w:p w14:paraId="5D1AC8F4" w14:textId="77777777" w:rsidR="00770E1B" w:rsidRPr="00B45543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r w:rsidRPr="004A19FE">
              <w:rPr>
                <w:b/>
                <w:lang w:val="fr-FR"/>
              </w:rPr>
              <w:t>Impliquer les partenaires du Cluster Nutrition</w:t>
            </w:r>
            <w:r w:rsidRPr="00B45543">
              <w:rPr>
                <w:lang w:val="fr-FR"/>
              </w:rPr>
              <w:t xml:space="preserve"> dans la conception des systèmes et des outils (par </w:t>
            </w:r>
            <w:r>
              <w:rPr>
                <w:lang w:val="fr-FR"/>
              </w:rPr>
              <w:t>le biais d'un sous-groupe) et</w:t>
            </w:r>
            <w:r w:rsidRPr="00B45543">
              <w:rPr>
                <w:lang w:val="fr-FR"/>
              </w:rPr>
              <w:t xml:space="preserve"> sensibiliser tous les acteurs aux avantages de la participation.</w:t>
            </w:r>
          </w:p>
          <w:p w14:paraId="679C1746" w14:textId="77777777" w:rsidR="00770E1B" w:rsidRPr="00B45543" w:rsidRDefault="00770E1B" w:rsidP="0097278C">
            <w:pPr>
              <w:rPr>
                <w:lang w:val="fr-FR"/>
              </w:rPr>
            </w:pPr>
            <w:r w:rsidRPr="00B45543">
              <w:rPr>
                <w:lang w:val="fr-FR"/>
              </w:rPr>
              <w:t xml:space="preserve">• </w:t>
            </w:r>
            <w:r>
              <w:rPr>
                <w:lang w:val="fr-FR"/>
              </w:rPr>
              <w:t xml:space="preserve">Prêter </w:t>
            </w:r>
            <w:r w:rsidRPr="00B45543">
              <w:rPr>
                <w:lang w:val="fr-FR"/>
              </w:rPr>
              <w:t xml:space="preserve">une attention suffisante </w:t>
            </w:r>
            <w:r>
              <w:rPr>
                <w:lang w:val="fr-FR"/>
              </w:rPr>
              <w:t xml:space="preserve">aux besoins en </w:t>
            </w:r>
            <w:r w:rsidR="008164D8">
              <w:rPr>
                <w:lang w:val="fr-FR"/>
              </w:rPr>
              <w:t>matière d’</w:t>
            </w:r>
            <w:r w:rsidRPr="00B45543">
              <w:rPr>
                <w:lang w:val="fr-FR"/>
              </w:rPr>
              <w:t>information</w:t>
            </w:r>
            <w:r w:rsidR="008164D8">
              <w:rPr>
                <w:lang w:val="fr-FR"/>
              </w:rPr>
              <w:t>s</w:t>
            </w:r>
            <w:r w:rsidRPr="00B45543">
              <w:rPr>
                <w:lang w:val="fr-FR"/>
              </w:rPr>
              <w:t xml:space="preserve"> sur la nutrition </w:t>
            </w:r>
            <w:r>
              <w:rPr>
                <w:lang w:val="fr-FR"/>
              </w:rPr>
              <w:t xml:space="preserve">dans les </w:t>
            </w:r>
            <w:r w:rsidRPr="00B45543">
              <w:rPr>
                <w:lang w:val="fr-FR"/>
              </w:rPr>
              <w:t xml:space="preserve">données </w:t>
            </w:r>
            <w:r>
              <w:rPr>
                <w:lang w:val="fr-FR"/>
              </w:rPr>
              <w:t xml:space="preserve">recueillies </w:t>
            </w:r>
            <w:r w:rsidRPr="004A19FE">
              <w:rPr>
                <w:b/>
                <w:lang w:val="fr-FR"/>
              </w:rPr>
              <w:t>avant et pendant la crise</w:t>
            </w:r>
            <w:r>
              <w:rPr>
                <w:lang w:val="fr-FR"/>
              </w:rPr>
              <w:t>,</w:t>
            </w:r>
            <w:r w:rsidRPr="00B4554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lors des </w:t>
            </w:r>
            <w:r w:rsidRPr="00B45543">
              <w:rPr>
                <w:lang w:val="fr-FR"/>
              </w:rPr>
              <w:t xml:space="preserve">étapes d'évaluation </w:t>
            </w:r>
            <w:r>
              <w:rPr>
                <w:lang w:val="fr-FR"/>
              </w:rPr>
              <w:t>préliminaires</w:t>
            </w:r>
            <w:r w:rsidRPr="00B45543">
              <w:rPr>
                <w:lang w:val="fr-FR"/>
              </w:rPr>
              <w:t xml:space="preserve"> et rapides.</w:t>
            </w:r>
          </w:p>
          <w:p w14:paraId="6A35C214" w14:textId="77777777" w:rsidR="00770E1B" w:rsidRPr="00B45543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 xml:space="preserve">• Intégrer les </w:t>
            </w:r>
            <w:r w:rsidRPr="004A19FE">
              <w:rPr>
                <w:b/>
                <w:lang w:val="fr-FR"/>
              </w:rPr>
              <w:t xml:space="preserve">équipes </w:t>
            </w:r>
            <w:r w:rsidRPr="00DE4855">
              <w:rPr>
                <w:lang w:val="fr-FR"/>
              </w:rPr>
              <w:t>nationales / locales</w:t>
            </w:r>
            <w:r w:rsidRPr="004A19FE">
              <w:rPr>
                <w:b/>
                <w:lang w:val="fr-FR"/>
              </w:rPr>
              <w:t xml:space="preserve"> de suivi</w:t>
            </w:r>
            <w:r>
              <w:rPr>
                <w:lang w:val="fr-FR"/>
              </w:rPr>
              <w:t xml:space="preserve"> dans le système de suivi</w:t>
            </w:r>
            <w:r w:rsidRPr="00B45543">
              <w:rPr>
                <w:lang w:val="fr-FR"/>
              </w:rPr>
              <w:t xml:space="preserve"> au niveau du cluster.</w:t>
            </w:r>
            <w:r>
              <w:rPr>
                <w:lang w:val="fr-FR"/>
              </w:rPr>
              <w:t xml:space="preserve"> </w:t>
            </w:r>
          </w:p>
          <w:p w14:paraId="2B635774" w14:textId="737C8D8E" w:rsidR="00770E1B" w:rsidRPr="00B45543" w:rsidRDefault="00770E1B" w:rsidP="0097278C">
            <w:pPr>
              <w:rPr>
                <w:lang w:val="fr-FR"/>
              </w:rPr>
            </w:pPr>
            <w:r>
              <w:rPr>
                <w:lang w:val="fr-FR"/>
              </w:rPr>
              <w:t>• S’assurer que</w:t>
            </w:r>
            <w:r w:rsidRPr="00B45543">
              <w:rPr>
                <w:lang w:val="fr-FR"/>
              </w:rPr>
              <w:t xml:space="preserve"> la </w:t>
            </w:r>
            <w:r w:rsidRPr="004A19FE">
              <w:rPr>
                <w:b/>
                <w:lang w:val="fr-FR"/>
              </w:rPr>
              <w:t>collecte et l'analyse de toutes les données selon le sexe et l'âge</w:t>
            </w:r>
            <w:r w:rsidRPr="00B45543">
              <w:rPr>
                <w:lang w:val="fr-FR"/>
              </w:rPr>
              <w:t xml:space="preserve"> concernant l</w:t>
            </w:r>
            <w:r w:rsidR="008164D8">
              <w:rPr>
                <w:lang w:val="fr-FR"/>
              </w:rPr>
              <w:t xml:space="preserve">’intervention </w:t>
            </w:r>
            <w:r w:rsidRPr="00B45543">
              <w:rPr>
                <w:lang w:val="fr-FR"/>
              </w:rPr>
              <w:t xml:space="preserve">humanitaire, </w:t>
            </w:r>
            <w:r>
              <w:rPr>
                <w:lang w:val="fr-FR"/>
              </w:rPr>
              <w:t>l’analyse des différences</w:t>
            </w:r>
            <w:r w:rsidRPr="00B45543">
              <w:rPr>
                <w:lang w:val="fr-FR"/>
              </w:rPr>
              <w:t xml:space="preserve"> </w:t>
            </w:r>
            <w:r>
              <w:rPr>
                <w:lang w:val="fr-FR"/>
              </w:rPr>
              <w:t>observées et leur utilisation</w:t>
            </w:r>
            <w:r w:rsidRPr="00B45543">
              <w:rPr>
                <w:lang w:val="fr-FR"/>
              </w:rPr>
              <w:t xml:space="preserve"> pour établir un pr</w:t>
            </w:r>
            <w:r>
              <w:rPr>
                <w:lang w:val="fr-FR"/>
              </w:rPr>
              <w:t xml:space="preserve">ofil des populations à risque </w:t>
            </w:r>
            <w:r w:rsidRPr="00B45543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de </w:t>
            </w:r>
            <w:r w:rsidRPr="00B45543">
              <w:rPr>
                <w:lang w:val="fr-FR"/>
              </w:rPr>
              <w:t xml:space="preserve">leurs </w:t>
            </w:r>
            <w:r>
              <w:rPr>
                <w:lang w:val="fr-FR"/>
              </w:rPr>
              <w:t>besoins, deviennent des</w:t>
            </w:r>
            <w:r w:rsidRPr="00B45543">
              <w:rPr>
                <w:lang w:val="fr-FR"/>
              </w:rPr>
              <w:t xml:space="preserve"> </w:t>
            </w:r>
            <w:r w:rsidRPr="004A19FE">
              <w:rPr>
                <w:b/>
                <w:lang w:val="fr-FR"/>
              </w:rPr>
              <w:t>pratiques courantes</w:t>
            </w:r>
            <w:r w:rsidRPr="00B45543">
              <w:rPr>
                <w:lang w:val="fr-FR"/>
              </w:rPr>
              <w:t xml:space="preserve">. Cela peut être fait en intégrant la nécessité </w:t>
            </w:r>
            <w:r>
              <w:rPr>
                <w:lang w:val="fr-FR"/>
              </w:rPr>
              <w:t xml:space="preserve">d’avoir </w:t>
            </w:r>
            <w:r w:rsidR="008164D8">
              <w:rPr>
                <w:lang w:val="fr-FR"/>
              </w:rPr>
              <w:t xml:space="preserve">des </w:t>
            </w:r>
            <w:r>
              <w:rPr>
                <w:lang w:val="fr-FR"/>
              </w:rPr>
              <w:t>données ventilées par sexe et</w:t>
            </w:r>
            <w:r w:rsidRPr="00750FEF">
              <w:rPr>
                <w:lang w:val="fr-FR"/>
              </w:rPr>
              <w:t xml:space="preserve"> </w:t>
            </w:r>
            <w:r>
              <w:rPr>
                <w:lang w:val="fr-FR"/>
              </w:rPr>
              <w:t>par âge</w:t>
            </w:r>
            <w:r w:rsidRPr="00B45543">
              <w:rPr>
                <w:lang w:val="fr-FR"/>
              </w:rPr>
              <w:t xml:space="preserve"> dans les normes minimales du cl</w:t>
            </w:r>
            <w:r>
              <w:rPr>
                <w:lang w:val="fr-FR"/>
              </w:rPr>
              <w:t>uster et le</w:t>
            </w:r>
            <w:r w:rsidRPr="00B45543">
              <w:rPr>
                <w:lang w:val="fr-FR"/>
              </w:rPr>
              <w:t xml:space="preserve">s plans de renforcement des capacités ou en l'intégrant dans les </w:t>
            </w:r>
            <w:r>
              <w:rPr>
                <w:lang w:val="fr-FR"/>
              </w:rPr>
              <w:t>outils de suivi</w:t>
            </w:r>
            <w:r w:rsidRPr="00B45543">
              <w:rPr>
                <w:lang w:val="fr-FR"/>
              </w:rPr>
              <w:t>.</w:t>
            </w:r>
          </w:p>
          <w:p w14:paraId="1D1EBCFB" w14:textId="77777777" w:rsidR="00770E1B" w:rsidRPr="00750FEF" w:rsidRDefault="00770E1B" w:rsidP="00DE4855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• </w:t>
            </w:r>
            <w:r w:rsidRPr="00DE4855">
              <w:rPr>
                <w:spacing w:val="-5"/>
                <w:lang w:val="fr-FR"/>
              </w:rPr>
              <w:t xml:space="preserve">Garantir une </w:t>
            </w:r>
            <w:r w:rsidRPr="00DE4855">
              <w:rPr>
                <w:b/>
                <w:spacing w:val="-5"/>
                <w:lang w:val="fr-FR"/>
              </w:rPr>
              <w:t>planification de la réponse et un processus de révision structurés</w:t>
            </w:r>
            <w:r w:rsidRPr="00DE4855">
              <w:rPr>
                <w:spacing w:val="-5"/>
                <w:lang w:val="fr-FR"/>
              </w:rPr>
              <w:t xml:space="preserve"> qui décrivent clairement les problèmes à résoudre et les objectifs et les normes nécessaires pour leur faire face, avec des indicateurs clés pour mesurer les progrès dans ce sens.</w:t>
            </w:r>
          </w:p>
        </w:tc>
      </w:tr>
    </w:tbl>
    <w:p w14:paraId="4A961EE3" w14:textId="77777777" w:rsidR="00770E1B" w:rsidRPr="00750FEF" w:rsidRDefault="00770E1B">
      <w:pPr>
        <w:rPr>
          <w:lang w:val="fr-FR"/>
        </w:rPr>
      </w:pPr>
    </w:p>
    <w:sectPr w:rsidR="00770E1B" w:rsidRPr="00750FEF" w:rsidSect="006F0C6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DA45" w14:textId="77777777" w:rsidR="00F95D73" w:rsidRDefault="00F95D73" w:rsidP="00770E1B">
      <w:pPr>
        <w:spacing w:after="0" w:line="240" w:lineRule="auto"/>
      </w:pPr>
      <w:r>
        <w:separator/>
      </w:r>
    </w:p>
  </w:endnote>
  <w:endnote w:type="continuationSeparator" w:id="0">
    <w:p w14:paraId="7EC9237A" w14:textId="77777777" w:rsidR="00F95D73" w:rsidRDefault="00F95D73" w:rsidP="0077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0074" w14:textId="77777777" w:rsidR="00F95D73" w:rsidRDefault="00F95D73" w:rsidP="00770E1B">
      <w:pPr>
        <w:spacing w:after="0" w:line="240" w:lineRule="auto"/>
      </w:pPr>
      <w:r>
        <w:separator/>
      </w:r>
    </w:p>
  </w:footnote>
  <w:footnote w:type="continuationSeparator" w:id="0">
    <w:p w14:paraId="7171F5A6" w14:textId="77777777" w:rsidR="00F95D73" w:rsidRDefault="00F95D73" w:rsidP="0077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2DD1" w14:textId="77777777" w:rsidR="00770E1B" w:rsidRDefault="00770E1B">
    <w:pPr>
      <w:pStyle w:val="Header"/>
    </w:pPr>
    <w:r w:rsidRPr="00770E1B">
      <w:rPr>
        <w:noProof/>
        <w:lang w:val="en-US" w:eastAsia="en-US"/>
      </w:rPr>
      <w:drawing>
        <wp:inline distT="0" distB="0" distL="0" distR="0" wp14:anchorId="44BE4726" wp14:editId="52BC688D">
          <wp:extent cx="1011600" cy="38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6" b="7936"/>
                  <a:stretch/>
                </pic:blipFill>
                <pic:spPr bwMode="auto">
                  <a:xfrm>
                    <a:off x="0" y="0"/>
                    <a:ext cx="1011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770E1B">
      <w:rPr>
        <w:sz w:val="20"/>
        <w:szCs w:val="20"/>
      </w:rPr>
      <w:t>Formation Coordination Cluster Nutrition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EF"/>
    <w:rsid w:val="000C5C35"/>
    <w:rsid w:val="001C2798"/>
    <w:rsid w:val="00297A27"/>
    <w:rsid w:val="002A7352"/>
    <w:rsid w:val="002C553E"/>
    <w:rsid w:val="003C3697"/>
    <w:rsid w:val="003D25BB"/>
    <w:rsid w:val="004A19FE"/>
    <w:rsid w:val="006F0C67"/>
    <w:rsid w:val="00750FEF"/>
    <w:rsid w:val="00770E1B"/>
    <w:rsid w:val="007A2F3E"/>
    <w:rsid w:val="008164D8"/>
    <w:rsid w:val="009577FD"/>
    <w:rsid w:val="0097278C"/>
    <w:rsid w:val="00AE3B43"/>
    <w:rsid w:val="00B45543"/>
    <w:rsid w:val="00BF2678"/>
    <w:rsid w:val="00C15A52"/>
    <w:rsid w:val="00C54487"/>
    <w:rsid w:val="00C74801"/>
    <w:rsid w:val="00D87348"/>
    <w:rsid w:val="00DE1CFB"/>
    <w:rsid w:val="00DE4855"/>
    <w:rsid w:val="00EB61DC"/>
    <w:rsid w:val="00F45EC5"/>
    <w:rsid w:val="00F72515"/>
    <w:rsid w:val="00F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4414B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fr-F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E1B"/>
  </w:style>
  <w:style w:type="paragraph" w:styleId="Heading1">
    <w:name w:val="heading 1"/>
    <w:basedOn w:val="Normal"/>
    <w:next w:val="Normal"/>
    <w:link w:val="Heading1Char"/>
    <w:uiPriority w:val="9"/>
    <w:qFormat/>
    <w:rsid w:val="00770E1B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E1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E1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E1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E1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E1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1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E1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E1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E1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E1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E1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E1B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0E1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70E1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E1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0E1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70E1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70E1B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770E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E1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0E1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E1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E1B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70E1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70E1B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E1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0E1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70E1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E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1B"/>
  </w:style>
  <w:style w:type="paragraph" w:styleId="Footer">
    <w:name w:val="footer"/>
    <w:basedOn w:val="Normal"/>
    <w:link w:val="FooterChar"/>
    <w:uiPriority w:val="99"/>
    <w:unhideWhenUsed/>
    <w:rsid w:val="00770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E1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EMOPSGCCU-1435067120-27970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https://unicef.sharepoint.com/teams/EMOPS-GCCU/_layouts/15/DocIdRedir.aspx?ID=EMOPSGCCU-1435067120-27970</Url>
      <Description>EMOPSGCCU-1435067120-27970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D57075E-E0D3-49A6-BD4C-59BE97173C37}"/>
</file>

<file path=customXml/itemProps2.xml><?xml version="1.0" encoding="utf-8"?>
<ds:datastoreItem xmlns:ds="http://schemas.openxmlformats.org/officeDocument/2006/customXml" ds:itemID="{EBCB75DE-9162-4711-90FE-201C50B6ADD0}"/>
</file>

<file path=customXml/itemProps3.xml><?xml version="1.0" encoding="utf-8"?>
<ds:datastoreItem xmlns:ds="http://schemas.openxmlformats.org/officeDocument/2006/customXml" ds:itemID="{6F37EBFC-5F90-4197-9809-AB26FA5B7351}"/>
</file>

<file path=customXml/itemProps4.xml><?xml version="1.0" encoding="utf-8"?>
<ds:datastoreItem xmlns:ds="http://schemas.openxmlformats.org/officeDocument/2006/customXml" ds:itemID="{558F03B0-A9D7-4BDE-8C8D-1F8EB41996B8}"/>
</file>

<file path=customXml/itemProps5.xml><?xml version="1.0" encoding="utf-8"?>
<ds:datastoreItem xmlns:ds="http://schemas.openxmlformats.org/officeDocument/2006/customXml" ds:itemID="{0D3B85C2-4146-451E-A8B4-FDCBC3FF2CAE}"/>
</file>

<file path=customXml/itemProps6.xml><?xml version="1.0" encoding="utf-8"?>
<ds:datastoreItem xmlns:ds="http://schemas.openxmlformats.org/officeDocument/2006/customXml" ds:itemID="{739290F9-DF9C-48DB-8FE8-C9F4C3060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Constant</dc:creator>
  <cp:keywords/>
  <dc:description/>
  <cp:lastModifiedBy>Angeline Grant</cp:lastModifiedBy>
  <cp:revision>2</cp:revision>
  <dcterms:created xsi:type="dcterms:W3CDTF">2019-05-16T14:45:00Z</dcterms:created>
  <dcterms:modified xsi:type="dcterms:W3CDTF">2019-05-16T14:45:00Z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0e5cacb8-3851-4456-8f47-94811b5557ee</vt:lpwstr>
  </property>
  <property fmtid="{D5CDD505-2E9C-101B-9397-08002B2CF9AE}" pid="5" name="TaxKeyword">
    <vt:lpwstr/>
  </property>
</Properties>
</file>