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73" w:type="dxa"/>
        <w:tblLook w:val="04A0"/>
      </w:tblPr>
      <w:tblGrid>
        <w:gridCol w:w="2376"/>
        <w:gridCol w:w="3261"/>
        <w:gridCol w:w="4136"/>
      </w:tblGrid>
      <w:tr w:rsidR="00A8384C" w:rsidRPr="00F34915" w:rsidTr="00B403EA">
        <w:tc>
          <w:tcPr>
            <w:tcW w:w="2376" w:type="dxa"/>
            <w:shd w:val="clear" w:color="auto" w:fill="365F91" w:themeFill="accent1" w:themeFillShade="BF"/>
          </w:tcPr>
          <w:p w:rsidR="00477EC9" w:rsidRPr="00B403EA" w:rsidRDefault="00477EC9">
            <w:pPr>
              <w:rPr>
                <w:b/>
                <w:color w:val="FFFFFF" w:themeColor="background1"/>
                <w:lang w:val="fr-FR"/>
              </w:rPr>
            </w:pPr>
            <w:r w:rsidRPr="00B403EA">
              <w:rPr>
                <w:b/>
                <w:color w:val="FFFFFF" w:themeColor="background1"/>
                <w:w w:val="80"/>
                <w:lang w:val="fr-FR"/>
              </w:rPr>
              <w:t>Système des services de santé (HSS)</w:t>
            </w:r>
            <w:r w:rsidRPr="00B403EA">
              <w:rPr>
                <w:b/>
                <w:color w:val="FFFFFF" w:themeColor="background1"/>
                <w:lang w:val="fr-FR"/>
              </w:rPr>
              <w:t xml:space="preserve"> </w:t>
            </w:r>
            <w:r w:rsidRPr="00B403EA">
              <w:rPr>
                <w:b/>
                <w:color w:val="FFFFFF" w:themeColor="background1"/>
                <w:lang w:val="fr-FR"/>
              </w:rPr>
              <w:br/>
            </w:r>
            <w:r w:rsidRPr="00B403EA">
              <w:rPr>
                <w:b/>
                <w:color w:val="FFFFFF" w:themeColor="background1"/>
                <w:w w:val="80"/>
                <w:lang w:val="fr-FR"/>
              </w:rPr>
              <w:t>Module d'application</w:t>
            </w:r>
          </w:p>
        </w:tc>
        <w:tc>
          <w:tcPr>
            <w:tcW w:w="3261" w:type="dxa"/>
            <w:shd w:val="clear" w:color="auto" w:fill="365F91" w:themeFill="accent1" w:themeFillShade="BF"/>
          </w:tcPr>
          <w:p w:rsidR="00477EC9" w:rsidRPr="00B403EA" w:rsidRDefault="00477EC9">
            <w:pPr>
              <w:rPr>
                <w:b/>
                <w:color w:val="FFFFFF" w:themeColor="background1"/>
                <w:lang w:val="fr-FR"/>
              </w:rPr>
            </w:pPr>
            <w:r w:rsidRPr="00B403EA">
              <w:rPr>
                <w:b/>
                <w:color w:val="FFFFFF" w:themeColor="background1"/>
                <w:spacing w:val="-13"/>
                <w:lang w:val="fr-FR"/>
              </w:rPr>
              <w:t>Description du module d'application du système des services de santé (HSS)</w:t>
            </w:r>
          </w:p>
        </w:tc>
        <w:tc>
          <w:tcPr>
            <w:tcW w:w="4136" w:type="dxa"/>
            <w:shd w:val="clear" w:color="auto" w:fill="365F91" w:themeFill="accent1" w:themeFillShade="BF"/>
          </w:tcPr>
          <w:p w:rsidR="00477EC9" w:rsidRPr="00B403EA" w:rsidRDefault="00477EC9">
            <w:pPr>
              <w:rPr>
                <w:b/>
                <w:color w:val="FFFFFF" w:themeColor="background1"/>
                <w:lang w:val="fr-FR"/>
              </w:rPr>
            </w:pPr>
            <w:r w:rsidRPr="00B403EA">
              <w:rPr>
                <w:b/>
                <w:color w:val="FFFFFF" w:themeColor="background1"/>
                <w:lang w:val="fr-FR"/>
              </w:rPr>
              <w:t>Où se situe la nutrition dans ce module d'application</w:t>
            </w: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Services de santé</w:t>
            </w:r>
          </w:p>
        </w:tc>
        <w:tc>
          <w:tcPr>
            <w:tcW w:w="3261" w:type="dxa"/>
          </w:tcPr>
          <w:p w:rsidR="00477EC9" w:rsidRPr="00B403EA" w:rsidRDefault="00477EC9">
            <w:pPr>
              <w:rPr>
                <w:rFonts w:ascii="Arial Narrow" w:hAnsi="Arial Narrow"/>
                <w:color w:val="244061" w:themeColor="accent1" w:themeShade="80"/>
                <w:lang w:val="fr-FR"/>
              </w:rPr>
            </w:pPr>
            <w:r w:rsidRPr="00B403EA">
              <w:rPr>
                <w:rFonts w:ascii="Arial Narrow" w:hAnsi="Arial Narrow"/>
                <w:color w:val="244061" w:themeColor="accent1" w:themeShade="80"/>
                <w:lang w:val="fr-FR"/>
              </w:rPr>
              <w:t xml:space="preserve">De bons services de santé offrent des interventions de santé personnelles et non personnelles efficaces, sûres et de qualité. Elles s'adressent à ceux qui en ont besoin, </w:t>
            </w:r>
            <w:r w:rsidR="00EE7EB1" w:rsidRPr="00B403EA">
              <w:rPr>
                <w:rFonts w:ascii="Arial Narrow" w:hAnsi="Arial Narrow"/>
                <w:color w:val="244061" w:themeColor="accent1" w:themeShade="80"/>
                <w:lang w:val="fr-FR"/>
              </w:rPr>
              <w:t xml:space="preserve">au moment et à l’endroit </w:t>
            </w:r>
            <w:r w:rsidRPr="00B403EA">
              <w:rPr>
                <w:rFonts w:ascii="Arial Narrow" w:hAnsi="Arial Narrow"/>
                <w:color w:val="244061" w:themeColor="accent1" w:themeShade="80"/>
                <w:lang w:val="fr-FR"/>
              </w:rPr>
              <w:t xml:space="preserve">où elles sont nécessaires, </w:t>
            </w:r>
            <w:r w:rsidR="00EE7EB1" w:rsidRPr="00B403EA">
              <w:rPr>
                <w:rFonts w:ascii="Arial Narrow" w:hAnsi="Arial Narrow"/>
                <w:color w:val="244061" w:themeColor="accent1" w:themeShade="80"/>
                <w:lang w:val="fr-FR"/>
              </w:rPr>
              <w:t xml:space="preserve">et sont réalisées </w:t>
            </w:r>
            <w:r w:rsidRPr="00B403EA">
              <w:rPr>
                <w:rFonts w:ascii="Arial Narrow" w:hAnsi="Arial Narrow"/>
                <w:color w:val="244061" w:themeColor="accent1" w:themeShade="80"/>
                <w:lang w:val="fr-FR"/>
              </w:rPr>
              <w:t>avec un minimum de gaspillage de ressources.</w:t>
            </w:r>
          </w:p>
        </w:tc>
        <w:tc>
          <w:tcPr>
            <w:tcW w:w="4136" w:type="dxa"/>
          </w:tcPr>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Utilisation des systèmes communautaires pour étendre les services et les messages de nutrition aux populations les plus vulnérables</w:t>
            </w: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Personnel de Santé</w:t>
            </w:r>
          </w:p>
        </w:tc>
        <w:tc>
          <w:tcPr>
            <w:tcW w:w="3261" w:type="dxa"/>
          </w:tcPr>
          <w:p w:rsidR="00477EC9" w:rsidRPr="00B403EA" w:rsidRDefault="00477EC9" w:rsidP="00477EC9">
            <w:pPr>
              <w:rPr>
                <w:rFonts w:ascii="Arial Narrow" w:hAnsi="Arial Narrow"/>
                <w:color w:val="244061" w:themeColor="accent1" w:themeShade="80"/>
                <w:lang w:val="fr-FR"/>
              </w:rPr>
            </w:pPr>
            <w:r w:rsidRPr="00B403EA">
              <w:rPr>
                <w:rFonts w:ascii="Arial Narrow" w:hAnsi="Arial Narrow"/>
                <w:color w:val="244061" w:themeColor="accent1" w:themeShade="80"/>
                <w:lang w:val="fr-FR"/>
              </w:rPr>
              <w:t>Un personnel de santé performant est un personnel qui fonctionne de manière réactive, juste et efficace pour obtenir les meilleurs résultats possibles pour la santé, en fonction des ressources et des circonstances. En d’autres termes, il y</w:t>
            </w:r>
            <w:r w:rsidR="00EE7EB1" w:rsidRPr="00B403EA">
              <w:rPr>
                <w:rFonts w:ascii="Arial Narrow" w:hAnsi="Arial Narrow"/>
                <w:color w:val="244061" w:themeColor="accent1" w:themeShade="80"/>
                <w:lang w:val="fr-FR"/>
              </w:rPr>
              <w:t xml:space="preserve"> </w:t>
            </w:r>
            <w:r w:rsidRPr="00B403EA">
              <w:rPr>
                <w:rFonts w:ascii="Arial Narrow" w:hAnsi="Arial Narrow"/>
                <w:color w:val="244061" w:themeColor="accent1" w:themeShade="80"/>
                <w:lang w:val="fr-FR"/>
              </w:rPr>
              <w:t>a suffisamment de personnel, réparti équitablement, qui est compétent, réactif et productif.</w:t>
            </w:r>
            <w:r w:rsidRPr="00B403EA">
              <w:rPr>
                <w:rFonts w:ascii="Arial Narrow" w:hAnsi="Arial Narrow"/>
                <w:color w:val="244061" w:themeColor="accent1" w:themeShade="80"/>
                <w:lang w:val="fr-FR"/>
              </w:rPr>
              <w:tab/>
            </w:r>
          </w:p>
        </w:tc>
        <w:tc>
          <w:tcPr>
            <w:tcW w:w="4136" w:type="dxa"/>
          </w:tcPr>
          <w:p w:rsidR="00A8384C" w:rsidRDefault="00477EC9" w:rsidP="00A8384C">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Utilisation des systèmes communautaires pour étendre les services et les messages de nutrition aux populations les plus vulnérables</w:t>
            </w:r>
          </w:p>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Renforcement des capacités du personnel de santé pour l'évaluation de la malnutrition, ainsi que la compréhension des principaux messages et problèmes de nutrition</w:t>
            </w:r>
          </w:p>
          <w:p w:rsidR="00477EC9" w:rsidRPr="00B403EA" w:rsidRDefault="00477EC9" w:rsidP="00B403EA">
            <w:pPr>
              <w:ind w:left="312"/>
              <w:rPr>
                <w:rFonts w:ascii="Arial Narrow" w:hAnsi="Arial Narrow"/>
                <w:color w:val="244061" w:themeColor="accent1" w:themeShade="80"/>
                <w:lang w:val="fr-FR"/>
              </w:rPr>
            </w:pP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Informations sur la santé</w:t>
            </w:r>
          </w:p>
        </w:tc>
        <w:tc>
          <w:tcPr>
            <w:tcW w:w="3261" w:type="dxa"/>
          </w:tcPr>
          <w:p w:rsidR="00477EC9" w:rsidRPr="00B403EA" w:rsidRDefault="00477EC9">
            <w:pPr>
              <w:rPr>
                <w:rFonts w:ascii="Arial Narrow" w:hAnsi="Arial Narrow"/>
                <w:color w:val="244061" w:themeColor="accent1" w:themeShade="80"/>
                <w:lang w:val="fr-FR"/>
              </w:rPr>
            </w:pPr>
            <w:r w:rsidRPr="00B403EA">
              <w:rPr>
                <w:rFonts w:ascii="Arial Narrow" w:hAnsi="Arial Narrow"/>
                <w:color w:val="244061" w:themeColor="accent1" w:themeShade="80"/>
                <w:lang w:val="fr-FR"/>
              </w:rPr>
              <w:t>Un système d’informations sur la santé qui fonctionne bien est un système qui assure la production, l’analyse, la diffusion et l’utilisation d'</w:t>
            </w:r>
            <w:bookmarkStart w:id="0" w:name="_GoBack"/>
            <w:bookmarkEnd w:id="0"/>
            <w:r w:rsidRPr="00B403EA">
              <w:rPr>
                <w:rFonts w:ascii="Arial Narrow" w:hAnsi="Arial Narrow"/>
                <w:color w:val="244061" w:themeColor="accent1" w:themeShade="80"/>
                <w:lang w:val="fr-FR"/>
              </w:rPr>
              <w:t>informations sur les déterminants de la santé fiables et en temps opportun : performance du système de santé et état de santé.</w:t>
            </w:r>
          </w:p>
        </w:tc>
        <w:tc>
          <w:tcPr>
            <w:tcW w:w="4136" w:type="dxa"/>
          </w:tcPr>
          <w:p w:rsidR="00A8384C" w:rsidRDefault="00477EC9" w:rsidP="00A8384C">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Activités de surveillance nutritionnelle (pour la malnutrition aiguë dans les pays fortement touchés).</w:t>
            </w:r>
          </w:p>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 xml:space="preserve">Collecte régulière d'indicateurs anthropométriques pour </w:t>
            </w:r>
            <w:r w:rsidR="00EE7EB1" w:rsidRPr="00B403EA">
              <w:rPr>
                <w:rFonts w:ascii="Arial Narrow" w:hAnsi="Arial Narrow"/>
                <w:color w:val="244061" w:themeColor="accent1" w:themeShade="80"/>
                <w:lang w:val="fr-FR"/>
              </w:rPr>
              <w:t xml:space="preserve">renseigner </w:t>
            </w:r>
            <w:r w:rsidRPr="00B403EA">
              <w:rPr>
                <w:rFonts w:ascii="Arial Narrow" w:hAnsi="Arial Narrow"/>
                <w:color w:val="244061" w:themeColor="accent1" w:themeShade="80"/>
                <w:lang w:val="fr-FR"/>
              </w:rPr>
              <w:t>l'élaboration des politiques et l'allocation des ressources.</w:t>
            </w: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Produits médicaux, vaccins, technologie</w:t>
            </w:r>
          </w:p>
        </w:tc>
        <w:tc>
          <w:tcPr>
            <w:tcW w:w="3261" w:type="dxa"/>
          </w:tcPr>
          <w:p w:rsidR="00477EC9" w:rsidRPr="00B403EA" w:rsidRDefault="00477EC9" w:rsidP="00EE7EB1">
            <w:pPr>
              <w:rPr>
                <w:rFonts w:ascii="Arial Narrow" w:hAnsi="Arial Narrow"/>
                <w:color w:val="244061" w:themeColor="accent1" w:themeShade="80"/>
                <w:lang w:val="fr-FR"/>
              </w:rPr>
            </w:pPr>
            <w:r w:rsidRPr="00B403EA">
              <w:rPr>
                <w:rFonts w:ascii="Arial Narrow" w:hAnsi="Arial Narrow"/>
                <w:color w:val="244061" w:themeColor="accent1" w:themeShade="80"/>
                <w:lang w:val="fr-FR"/>
              </w:rPr>
              <w:t>Un système de santé qui fonctionne bien garantit un accès équitable aux produits médicaux essentiels, aux vaccins et aux technologies</w:t>
            </w:r>
            <w:r w:rsidR="00F34915">
              <w:rPr>
                <w:rFonts w:ascii="Arial Narrow" w:hAnsi="Arial Narrow"/>
                <w:color w:val="244061" w:themeColor="accent1" w:themeShade="80"/>
                <w:lang w:val="fr-FR"/>
              </w:rPr>
              <w:t>,</w:t>
            </w:r>
            <w:r w:rsidRPr="00B403EA">
              <w:rPr>
                <w:rFonts w:ascii="Arial Narrow" w:hAnsi="Arial Narrow"/>
                <w:color w:val="244061" w:themeColor="accent1" w:themeShade="80"/>
                <w:lang w:val="fr-FR"/>
              </w:rPr>
              <w:t xml:space="preserve"> de qualité garantie, </w:t>
            </w:r>
            <w:r w:rsidR="00EE7EB1" w:rsidRPr="00B403EA">
              <w:rPr>
                <w:rFonts w:ascii="Arial Narrow" w:hAnsi="Arial Narrow"/>
                <w:color w:val="244061" w:themeColor="accent1" w:themeShade="80"/>
                <w:lang w:val="fr-FR"/>
              </w:rPr>
              <w:t>sûrs</w:t>
            </w:r>
            <w:r w:rsidRPr="00B403EA">
              <w:rPr>
                <w:rFonts w:ascii="Arial Narrow" w:hAnsi="Arial Narrow"/>
                <w:color w:val="244061" w:themeColor="accent1" w:themeShade="80"/>
                <w:lang w:val="fr-FR"/>
              </w:rPr>
              <w:t xml:space="preserve">, </w:t>
            </w:r>
            <w:r w:rsidR="00EE7EB1" w:rsidRPr="00B403EA">
              <w:rPr>
                <w:rFonts w:ascii="Arial Narrow" w:hAnsi="Arial Narrow"/>
                <w:color w:val="244061" w:themeColor="accent1" w:themeShade="80"/>
                <w:lang w:val="fr-FR"/>
              </w:rPr>
              <w:t xml:space="preserve">efficaces </w:t>
            </w:r>
            <w:r w:rsidRPr="00B403EA">
              <w:rPr>
                <w:rFonts w:ascii="Arial Narrow" w:hAnsi="Arial Narrow"/>
                <w:color w:val="244061" w:themeColor="accent1" w:themeShade="80"/>
                <w:lang w:val="fr-FR"/>
              </w:rPr>
              <w:t xml:space="preserve">et </w:t>
            </w:r>
            <w:r w:rsidR="00EE7EB1" w:rsidRPr="00B403EA">
              <w:rPr>
                <w:rFonts w:ascii="Arial Narrow" w:hAnsi="Arial Narrow"/>
                <w:color w:val="244061" w:themeColor="accent1" w:themeShade="80"/>
                <w:lang w:val="fr-FR"/>
              </w:rPr>
              <w:t>rentables</w:t>
            </w:r>
            <w:r w:rsidRPr="00B403EA">
              <w:rPr>
                <w:rFonts w:ascii="Arial Narrow" w:hAnsi="Arial Narrow"/>
                <w:color w:val="244061" w:themeColor="accent1" w:themeShade="80"/>
                <w:lang w:val="fr-FR"/>
              </w:rPr>
              <w:t>, ainsi que leur utilisation scientifique et rentable.</w:t>
            </w:r>
          </w:p>
        </w:tc>
        <w:tc>
          <w:tcPr>
            <w:tcW w:w="4136" w:type="dxa"/>
          </w:tcPr>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Assurer des achats et des stocks adéquats de fournitures nutritionnelles et de médicaments dans tous les types de structures de santé</w:t>
            </w: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Financement de la santé</w:t>
            </w:r>
          </w:p>
        </w:tc>
        <w:tc>
          <w:tcPr>
            <w:tcW w:w="3261" w:type="dxa"/>
          </w:tcPr>
          <w:p w:rsidR="00477EC9" w:rsidRPr="00B403EA" w:rsidRDefault="00477EC9">
            <w:pPr>
              <w:rPr>
                <w:rFonts w:ascii="Arial Narrow" w:hAnsi="Arial Narrow"/>
                <w:color w:val="244061" w:themeColor="accent1" w:themeShade="80"/>
                <w:lang w:val="fr-FR"/>
              </w:rPr>
            </w:pPr>
            <w:r w:rsidRPr="00B403EA">
              <w:rPr>
                <w:rFonts w:ascii="Arial Narrow" w:hAnsi="Arial Narrow"/>
                <w:color w:val="244061" w:themeColor="accent1" w:themeShade="80"/>
                <w:lang w:val="fr-FR"/>
              </w:rPr>
              <w:t>Un bon système de financement permet de mobiliser des ressources suffisantes selon des modalités offrant aux individus la garantie de pouvoir bénéficier des prestations requises et d'être protégés des conséquences de catastrophes financières ou de difficultés résultant de la nécessité d'acquitter le prix de ces prestations</w:t>
            </w:r>
            <w:r w:rsidR="00EE7EB1" w:rsidRPr="00B403EA">
              <w:rPr>
                <w:rFonts w:ascii="Arial Narrow" w:hAnsi="Arial Narrow"/>
                <w:color w:val="244061" w:themeColor="accent1" w:themeShade="80"/>
                <w:lang w:val="fr-FR"/>
              </w:rPr>
              <w:t xml:space="preserve">. </w:t>
            </w:r>
            <w:r w:rsidRPr="00B403EA">
              <w:rPr>
                <w:rFonts w:ascii="Arial Narrow" w:hAnsi="Arial Narrow"/>
                <w:color w:val="244061" w:themeColor="accent1" w:themeShade="80"/>
                <w:lang w:val="fr-FR"/>
              </w:rPr>
              <w:t>Il motive les prestataires et les utilisateurs à être efficaces.</w:t>
            </w:r>
            <w:r w:rsidRPr="00B403EA">
              <w:rPr>
                <w:rFonts w:ascii="Arial Narrow" w:hAnsi="Arial Narrow"/>
                <w:color w:val="244061" w:themeColor="accent1" w:themeShade="80"/>
                <w:lang w:val="fr-FR"/>
              </w:rPr>
              <w:tab/>
            </w:r>
          </w:p>
        </w:tc>
        <w:tc>
          <w:tcPr>
            <w:tcW w:w="4136" w:type="dxa"/>
          </w:tcPr>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Mécanismes d'assurance comprenant des services de nutrition de base et essentiels</w:t>
            </w:r>
          </w:p>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 xml:space="preserve">Utilisation de facteurs externes pour </w:t>
            </w:r>
            <w:r w:rsidR="00EE7EB1" w:rsidRPr="00B403EA">
              <w:rPr>
                <w:rFonts w:ascii="Arial Narrow" w:hAnsi="Arial Narrow"/>
                <w:color w:val="244061" w:themeColor="accent1" w:themeShade="80"/>
                <w:lang w:val="fr-FR"/>
              </w:rPr>
              <w:t xml:space="preserve">accroître </w:t>
            </w:r>
            <w:r w:rsidRPr="00B403EA">
              <w:rPr>
                <w:rFonts w:ascii="Arial Narrow" w:hAnsi="Arial Narrow"/>
                <w:color w:val="244061" w:themeColor="accent1" w:themeShade="80"/>
                <w:lang w:val="fr-FR"/>
              </w:rPr>
              <w:t xml:space="preserve">le financement </w:t>
            </w:r>
            <w:r w:rsidR="00EE7EB1" w:rsidRPr="00B403EA">
              <w:rPr>
                <w:rFonts w:ascii="Arial Narrow" w:hAnsi="Arial Narrow"/>
                <w:color w:val="244061" w:themeColor="accent1" w:themeShade="80"/>
                <w:lang w:val="fr-FR"/>
              </w:rPr>
              <w:t>alloué à</w:t>
            </w:r>
            <w:r w:rsidRPr="00B403EA">
              <w:rPr>
                <w:rFonts w:ascii="Arial Narrow" w:hAnsi="Arial Narrow"/>
                <w:color w:val="244061" w:themeColor="accent1" w:themeShade="80"/>
                <w:lang w:val="fr-FR"/>
              </w:rPr>
              <w:t xml:space="preserve"> la nutrition</w:t>
            </w:r>
          </w:p>
          <w:p w:rsidR="00477EC9" w:rsidRPr="00B403EA" w:rsidRDefault="00477EC9" w:rsidP="00B403EA">
            <w:pPr>
              <w:pStyle w:val="ListParagraph"/>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w:t>
            </w:r>
            <w:r w:rsidR="00A8384C" w:rsidRPr="00B403EA">
              <w:rPr>
                <w:rFonts w:ascii="Arial Narrow" w:hAnsi="Arial Narrow"/>
                <w:color w:val="244061" w:themeColor="accent1" w:themeShade="80"/>
                <w:lang w:val="fr-FR"/>
              </w:rPr>
              <w:t>Par</w:t>
            </w:r>
            <w:r w:rsidRPr="00B403EA">
              <w:rPr>
                <w:rFonts w:ascii="Arial Narrow" w:hAnsi="Arial Narrow"/>
                <w:color w:val="244061" w:themeColor="accent1" w:themeShade="80"/>
                <w:lang w:val="fr-FR"/>
              </w:rPr>
              <w:t xml:space="preserve"> exemple, sécheresse dans la corne de l'Afrique entraînant une augmentation de l'aide aux activités de nutrition)</w:t>
            </w:r>
          </w:p>
        </w:tc>
      </w:tr>
      <w:tr w:rsidR="00477EC9" w:rsidRPr="00F34915" w:rsidTr="00B403EA">
        <w:tc>
          <w:tcPr>
            <w:tcW w:w="2376" w:type="dxa"/>
          </w:tcPr>
          <w:p w:rsidR="00477EC9" w:rsidRPr="00B403EA" w:rsidRDefault="00477EC9">
            <w:pPr>
              <w:rPr>
                <w:b/>
                <w:color w:val="244061" w:themeColor="accent1" w:themeShade="80"/>
                <w:lang w:val="fr-FR"/>
              </w:rPr>
            </w:pPr>
            <w:r w:rsidRPr="00B403EA">
              <w:rPr>
                <w:b/>
                <w:color w:val="244061" w:themeColor="accent1" w:themeShade="80"/>
                <w:lang w:val="fr-FR"/>
              </w:rPr>
              <w:t>Direction et Gouvernance</w:t>
            </w:r>
          </w:p>
        </w:tc>
        <w:tc>
          <w:tcPr>
            <w:tcW w:w="3261" w:type="dxa"/>
          </w:tcPr>
          <w:p w:rsidR="00477EC9" w:rsidRPr="00B403EA" w:rsidRDefault="00477EC9" w:rsidP="00477EC9">
            <w:pPr>
              <w:rPr>
                <w:rFonts w:ascii="Arial Narrow" w:hAnsi="Arial Narrow"/>
                <w:color w:val="244061" w:themeColor="accent1" w:themeShade="80"/>
                <w:lang w:val="fr-FR"/>
              </w:rPr>
            </w:pPr>
            <w:r w:rsidRPr="00B403EA">
              <w:rPr>
                <w:rFonts w:ascii="Arial Narrow" w:hAnsi="Arial Narrow"/>
                <w:color w:val="244061" w:themeColor="accent1" w:themeShade="80"/>
                <w:lang w:val="fr-FR"/>
              </w:rPr>
              <w:t>Le leadership et la gouvernance impliquent de s’assurer de l’existence de cadres stratégiques et s’associent à un suivi efficace, à la constitution d’une coalition, à la réglementation, à l’attention portée à la conception du système et à la redevabilité.</w:t>
            </w:r>
          </w:p>
        </w:tc>
        <w:tc>
          <w:tcPr>
            <w:tcW w:w="4136" w:type="dxa"/>
          </w:tcPr>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Élaboration et mise en œuvre de politiques et de directives en matière de nutrition (politique en matière de nutrition, politique / directives de la PCMA, législation relative à l'enrichissement des aliments)</w:t>
            </w:r>
          </w:p>
          <w:p w:rsidR="00477EC9" w:rsidRPr="00B403EA" w:rsidRDefault="00477EC9" w:rsidP="00B403EA">
            <w:pPr>
              <w:pStyle w:val="ListParagraph"/>
              <w:numPr>
                <w:ilvl w:val="0"/>
                <w:numId w:val="1"/>
              </w:numPr>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 xml:space="preserve">Assurance qualité / suivi et évaluation des directives et de la législation </w:t>
            </w:r>
            <w:r w:rsidRPr="00B403EA">
              <w:rPr>
                <w:rFonts w:ascii="Arial Narrow" w:hAnsi="Arial Narrow"/>
                <w:i/>
                <w:color w:val="244061" w:themeColor="accent1" w:themeShade="80"/>
                <w:lang w:val="fr-FR"/>
              </w:rPr>
              <w:t xml:space="preserve">spécifiques à la nutrition </w:t>
            </w:r>
            <w:r w:rsidRPr="00B403EA">
              <w:rPr>
                <w:rFonts w:ascii="Arial Narrow" w:hAnsi="Arial Narrow"/>
                <w:color w:val="244061" w:themeColor="accent1" w:themeShade="80"/>
                <w:lang w:val="fr-FR"/>
              </w:rPr>
              <w:t>au niveau national</w:t>
            </w:r>
          </w:p>
          <w:p w:rsidR="00477EC9" w:rsidRPr="00B403EA" w:rsidRDefault="00477EC9" w:rsidP="00B403EA">
            <w:pPr>
              <w:pStyle w:val="ListParagraph"/>
              <w:ind w:left="312"/>
              <w:rPr>
                <w:rFonts w:ascii="Arial Narrow" w:hAnsi="Arial Narrow"/>
                <w:color w:val="244061" w:themeColor="accent1" w:themeShade="80"/>
                <w:lang w:val="fr-FR"/>
              </w:rPr>
            </w:pPr>
            <w:r w:rsidRPr="00B403EA">
              <w:rPr>
                <w:rFonts w:ascii="Arial Narrow" w:hAnsi="Arial Narrow"/>
                <w:color w:val="244061" w:themeColor="accent1" w:themeShade="80"/>
                <w:lang w:val="fr-FR"/>
              </w:rPr>
              <w:t>(</w:t>
            </w:r>
            <w:r w:rsidR="00A8384C" w:rsidRPr="00B403EA">
              <w:rPr>
                <w:rFonts w:ascii="Arial Narrow" w:hAnsi="Arial Narrow"/>
                <w:color w:val="244061" w:themeColor="accent1" w:themeShade="80"/>
                <w:lang w:val="fr-FR"/>
              </w:rPr>
              <w:t>Par</w:t>
            </w:r>
            <w:r w:rsidRPr="00B403EA">
              <w:rPr>
                <w:rFonts w:ascii="Arial Narrow" w:hAnsi="Arial Narrow"/>
                <w:color w:val="244061" w:themeColor="accent1" w:themeShade="80"/>
                <w:lang w:val="fr-FR"/>
              </w:rPr>
              <w:t xml:space="preserve"> exemple, l'iodation du sel)</w:t>
            </w:r>
          </w:p>
        </w:tc>
      </w:tr>
    </w:tbl>
    <w:p w:rsidR="0089719C" w:rsidRPr="00EE7EB1" w:rsidRDefault="0089719C">
      <w:pPr>
        <w:rPr>
          <w:lang w:val="fr-FR"/>
        </w:rPr>
      </w:pPr>
    </w:p>
    <w:sectPr w:rsidR="0089719C" w:rsidRPr="00EE7EB1" w:rsidSect="00477EC9">
      <w:type w:val="continuous"/>
      <w:pgSz w:w="11900" w:h="16840"/>
      <w:pgMar w:top="1542" w:right="3720" w:bottom="426" w:left="1639" w:header="0" w:footer="561"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02FF"/>
    <w:multiLevelType w:val="hybridMultilevel"/>
    <w:tmpl w:val="284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useFELayout/>
  </w:compat>
  <w:rsids>
    <w:rsidRoot w:val="00477EC9"/>
    <w:rsid w:val="000930F2"/>
    <w:rsid w:val="00477EC9"/>
    <w:rsid w:val="004E06E7"/>
    <w:rsid w:val="005E711D"/>
    <w:rsid w:val="00701C14"/>
    <w:rsid w:val="008355B8"/>
    <w:rsid w:val="0089719C"/>
    <w:rsid w:val="00A8384C"/>
    <w:rsid w:val="00B403EA"/>
    <w:rsid w:val="00EE7EB1"/>
    <w:rsid w:val="00F349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C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EB1"/>
    <w:rPr>
      <w:rFonts w:ascii="Lucida Grande" w:eastAsiaTheme="minorHAnsi" w:hAnsi="Lucida Grande" w:cs="Lucida Grande"/>
      <w:sz w:val="18"/>
      <w:szCs w:val="18"/>
    </w:rPr>
  </w:style>
  <w:style w:type="paragraph" w:styleId="ListParagraph">
    <w:name w:val="List Paragraph"/>
    <w:basedOn w:val="Normal"/>
    <w:uiPriority w:val="34"/>
    <w:qFormat/>
    <w:rsid w:val="00A8384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198</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 FR 2019 Intercluster - Day 2</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EMOPSGCCU-1435067120-19158</_dlc_DocId>
    <_dlc_DocIdUrl xmlns="5858627f-d058-4b92-9b52-677b5fd7d454">
      <Url>https://unicef.sharepoint.com/teams/EMOPS-GCCU/_layouts/15/DocIdRedir.aspx?ID=EMOPSGCCU-1435067120-19158</Url>
      <Description>EMOPSGCCU-1435067120-19158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073AEA-604B-4284-816F-4E45FA070D50}"/>
</file>

<file path=customXml/itemProps2.xml><?xml version="1.0" encoding="utf-8"?>
<ds:datastoreItem xmlns:ds="http://schemas.openxmlformats.org/officeDocument/2006/customXml" ds:itemID="{C1F9F44F-9DE2-45D9-96CE-76AF0C82745F}"/>
</file>

<file path=customXml/itemProps3.xml><?xml version="1.0" encoding="utf-8"?>
<ds:datastoreItem xmlns:ds="http://schemas.openxmlformats.org/officeDocument/2006/customXml" ds:itemID="{A73BDEDF-DF24-4F15-812F-61D4CB3EC62A}"/>
</file>

<file path=customXml/itemProps4.xml><?xml version="1.0" encoding="utf-8"?>
<ds:datastoreItem xmlns:ds="http://schemas.openxmlformats.org/officeDocument/2006/customXml" ds:itemID="{C762282F-85BD-4855-8F27-2A9639CF32B2}"/>
</file>

<file path=customXml/itemProps5.xml><?xml version="1.0" encoding="utf-8"?>
<ds:datastoreItem xmlns:ds="http://schemas.openxmlformats.org/officeDocument/2006/customXml" ds:itemID="{50FE4C85-B88C-4AD2-9FD3-966FEE13F9E8}"/>
</file>

<file path=customXml/itemProps6.xml><?xml version="1.0" encoding="utf-8"?>
<ds:datastoreItem xmlns:ds="http://schemas.openxmlformats.org/officeDocument/2006/customXml" ds:itemID="{5DC5F9F5-AAC8-4E3B-895F-9D32D2CA108F}"/>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Declaron</dc:creator>
  <cp:keywords>Trainings; GNC</cp:keywords>
  <dc:description/>
  <cp:lastModifiedBy>Geraldine</cp:lastModifiedBy>
  <cp:revision>3</cp:revision>
  <dcterms:created xsi:type="dcterms:W3CDTF">2019-05-06T14:39:00Z</dcterms:created>
  <dcterms:modified xsi:type="dcterms:W3CDTF">2019-05-18T19:24:00Z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133;#GNC|82a4199d-9c93-4d57-833f-59195f986fba;#198;#Trainings|e247eb15-5fb6-4a93-80cd-515db5075dba</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0759b454-09b8-4c59-a893-f28c709f6a3f</vt:lpwstr>
  </property>
</Properties>
</file>