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9B9C" w14:textId="7CE73ACA" w:rsidR="003F5B26" w:rsidRPr="00E4326E" w:rsidRDefault="007A15A5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  <w:lang w:val="fr-FR"/>
        </w:rPr>
      </w:pPr>
      <w:bookmarkStart w:id="0" w:name="_Hlk320914110"/>
      <w:bookmarkStart w:id="1" w:name="_GoBack"/>
      <w:bookmarkEnd w:id="1"/>
      <w:r w:rsidRPr="00E4326E">
        <w:rPr>
          <w:rFonts w:asciiTheme="majorHAnsi" w:hAnsiTheme="majorHAnsi"/>
          <w:b/>
          <w:sz w:val="144"/>
          <w:szCs w:val="120"/>
          <w:lang w:val="fr-FR"/>
        </w:rPr>
        <w:t xml:space="preserve">1. </w:t>
      </w:r>
      <w:r w:rsidR="00CB1D84">
        <w:rPr>
          <w:rFonts w:asciiTheme="majorHAnsi" w:hAnsiTheme="majorHAnsi"/>
          <w:b/>
          <w:bCs/>
          <w:sz w:val="144"/>
          <w:szCs w:val="120"/>
          <w:lang w:val="fr-FR"/>
        </w:rPr>
        <w:t>Appuyer</w:t>
      </w:r>
      <w:r w:rsidR="00CB1D84" w:rsidRPr="00E4326E">
        <w:rPr>
          <w:rFonts w:asciiTheme="majorHAnsi" w:hAnsiTheme="majorHAnsi"/>
          <w:b/>
          <w:bCs/>
          <w:sz w:val="144"/>
          <w:szCs w:val="120"/>
          <w:lang w:val="fr-FR"/>
        </w:rPr>
        <w:t xml:space="preserve"> </w:t>
      </w:r>
      <w:r w:rsidR="00E4326E" w:rsidRPr="00E4326E">
        <w:rPr>
          <w:rFonts w:asciiTheme="majorHAnsi" w:hAnsiTheme="majorHAnsi"/>
          <w:b/>
          <w:bCs/>
          <w:sz w:val="144"/>
          <w:szCs w:val="120"/>
          <w:lang w:val="fr-FR"/>
        </w:rPr>
        <w:t>la prestation de services</w:t>
      </w:r>
    </w:p>
    <w:p w14:paraId="31BFF4BC" w14:textId="4B346551" w:rsidR="003F5B26" w:rsidRPr="00315DB0" w:rsidRDefault="007A15A5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20"/>
          <w:szCs w:val="120"/>
          <w:lang w:val="fr-FR"/>
        </w:rPr>
      </w:pPr>
      <w:r w:rsidRPr="00315DB0">
        <w:rPr>
          <w:rFonts w:asciiTheme="majorHAnsi" w:hAnsiTheme="majorHAnsi"/>
          <w:b/>
          <w:bCs/>
          <w:sz w:val="120"/>
          <w:szCs w:val="120"/>
          <w:lang w:val="fr-FR"/>
        </w:rPr>
        <w:br w:type="page"/>
      </w:r>
      <w:r w:rsidR="2A7A1304" w:rsidRPr="00315DB0">
        <w:rPr>
          <w:rFonts w:asciiTheme="majorHAnsi" w:hAnsiTheme="majorHAnsi"/>
          <w:b/>
          <w:bCs/>
          <w:sz w:val="120"/>
          <w:szCs w:val="120"/>
          <w:lang w:val="fr-FR"/>
        </w:rPr>
        <w:lastRenderedPageBreak/>
        <w:t xml:space="preserve">2. </w:t>
      </w:r>
      <w:r w:rsidR="00E4326E" w:rsidRPr="00315DB0">
        <w:rPr>
          <w:rFonts w:asciiTheme="majorHAnsi" w:hAnsiTheme="majorHAnsi"/>
          <w:b/>
          <w:bCs/>
          <w:sz w:val="120"/>
          <w:szCs w:val="120"/>
          <w:lang w:val="fr-FR"/>
        </w:rPr>
        <w:t>Guider la prise de décisions stratégiques du CH/EHP</w:t>
      </w:r>
      <w:r w:rsidR="00304A97" w:rsidRPr="00315DB0">
        <w:rPr>
          <w:rFonts w:asciiTheme="majorHAnsi" w:hAnsiTheme="majorHAnsi"/>
          <w:b/>
          <w:bCs/>
          <w:sz w:val="120"/>
          <w:szCs w:val="120"/>
          <w:lang w:val="fr-FR"/>
        </w:rPr>
        <w:t xml:space="preserve"> relatives à l’intervention humanitaire</w:t>
      </w:r>
    </w:p>
    <w:p w14:paraId="56367D46" w14:textId="255A01B9" w:rsidR="2A7A1304" w:rsidRPr="00E4326E" w:rsidRDefault="2A7A1304">
      <w:pPr>
        <w:rPr>
          <w:lang w:val="fr-FR"/>
        </w:rPr>
      </w:pPr>
      <w:r w:rsidRPr="00E4326E">
        <w:rPr>
          <w:lang w:val="fr-FR"/>
        </w:rPr>
        <w:br w:type="page"/>
      </w:r>
    </w:p>
    <w:p w14:paraId="174F2C4E" w14:textId="4DC756FC" w:rsidR="2A7A1304" w:rsidRPr="00E4326E" w:rsidRDefault="2A7A1304" w:rsidP="2A7A1304">
      <w:pPr>
        <w:ind w:left="360"/>
        <w:jc w:val="center"/>
        <w:rPr>
          <w:rFonts w:asciiTheme="majorHAnsi" w:eastAsiaTheme="majorEastAsia" w:hAnsiTheme="majorHAnsi" w:cstheme="majorBidi"/>
          <w:b/>
          <w:bCs/>
          <w:sz w:val="144"/>
          <w:szCs w:val="144"/>
          <w:lang w:val="fr-FR"/>
        </w:rPr>
      </w:pPr>
      <w:r w:rsidRPr="00E4326E">
        <w:rPr>
          <w:rFonts w:asciiTheme="majorHAnsi" w:eastAsiaTheme="majorEastAsia" w:hAnsiTheme="majorHAnsi" w:cstheme="majorBidi"/>
          <w:b/>
          <w:bCs/>
          <w:sz w:val="144"/>
          <w:szCs w:val="144"/>
          <w:lang w:val="fr-FR"/>
        </w:rPr>
        <w:lastRenderedPageBreak/>
        <w:t xml:space="preserve">3. </w:t>
      </w:r>
      <w:r w:rsidR="00E4326E" w:rsidRPr="00E4326E">
        <w:rPr>
          <w:rFonts w:asciiTheme="majorHAnsi" w:eastAsiaTheme="majorEastAsia" w:hAnsiTheme="majorHAnsi" w:cstheme="majorBidi"/>
          <w:b/>
          <w:bCs/>
          <w:sz w:val="144"/>
          <w:szCs w:val="144"/>
          <w:lang w:val="fr-FR"/>
        </w:rPr>
        <w:t xml:space="preserve">Planifier et </w:t>
      </w:r>
      <w:r w:rsidR="00CF23F1">
        <w:rPr>
          <w:rFonts w:asciiTheme="majorHAnsi" w:eastAsiaTheme="majorEastAsia" w:hAnsiTheme="majorHAnsi" w:cstheme="majorBidi"/>
          <w:b/>
          <w:bCs/>
          <w:sz w:val="144"/>
          <w:szCs w:val="144"/>
          <w:lang w:val="fr-FR"/>
        </w:rPr>
        <w:t xml:space="preserve">mettre en </w:t>
      </w:r>
      <w:proofErr w:type="spellStart"/>
      <w:r w:rsidR="00CF23F1">
        <w:rPr>
          <w:rFonts w:asciiTheme="majorHAnsi" w:eastAsiaTheme="majorEastAsia" w:hAnsiTheme="majorHAnsi" w:cstheme="majorBidi"/>
          <w:b/>
          <w:bCs/>
          <w:sz w:val="144"/>
          <w:szCs w:val="144"/>
          <w:lang w:val="fr-FR"/>
        </w:rPr>
        <w:t>oeuvre</w:t>
      </w:r>
      <w:proofErr w:type="spellEnd"/>
      <w:r w:rsidR="00CF23F1" w:rsidRPr="00E4326E">
        <w:rPr>
          <w:rFonts w:asciiTheme="majorHAnsi" w:eastAsiaTheme="majorEastAsia" w:hAnsiTheme="majorHAnsi" w:cstheme="majorBidi"/>
          <w:b/>
          <w:bCs/>
          <w:sz w:val="144"/>
          <w:szCs w:val="144"/>
          <w:lang w:val="fr-FR"/>
        </w:rPr>
        <w:t xml:space="preserve"> </w:t>
      </w:r>
      <w:r w:rsidR="00E4326E" w:rsidRPr="00E4326E">
        <w:rPr>
          <w:rFonts w:asciiTheme="majorHAnsi" w:eastAsiaTheme="majorEastAsia" w:hAnsiTheme="majorHAnsi" w:cstheme="majorBidi"/>
          <w:b/>
          <w:bCs/>
          <w:sz w:val="144"/>
          <w:szCs w:val="144"/>
          <w:lang w:val="fr-FR"/>
        </w:rPr>
        <w:t>les stratégies du cluster</w:t>
      </w:r>
    </w:p>
    <w:p w14:paraId="37CABF40" w14:textId="77777777" w:rsidR="003F5B26" w:rsidRPr="00E4326E" w:rsidRDefault="003F5B26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  <w:lang w:val="fr-FR"/>
        </w:rPr>
      </w:pPr>
    </w:p>
    <w:p w14:paraId="1CC889CE" w14:textId="04EB7DDF" w:rsidR="2A7A1304" w:rsidRPr="00E4326E" w:rsidRDefault="2A7A1304">
      <w:pPr>
        <w:rPr>
          <w:lang w:val="fr-FR"/>
        </w:rPr>
      </w:pPr>
    </w:p>
    <w:p w14:paraId="31B634F8" w14:textId="10FC4BC4" w:rsidR="2A7A1304" w:rsidRPr="00E4326E" w:rsidRDefault="2A7A1304" w:rsidP="2A7A1304">
      <w:pPr>
        <w:pStyle w:val="Liste123"/>
        <w:numPr>
          <w:ilvl w:val="0"/>
          <w:numId w:val="0"/>
        </w:numPr>
        <w:spacing w:after="0"/>
        <w:ind w:left="-360"/>
        <w:jc w:val="center"/>
        <w:rPr>
          <w:rFonts w:asciiTheme="majorHAnsi" w:hAnsiTheme="majorHAnsi"/>
          <w:b/>
          <w:bCs/>
          <w:sz w:val="144"/>
          <w:szCs w:val="144"/>
          <w:lang w:val="fr-FR"/>
        </w:rPr>
      </w:pPr>
      <w:r w:rsidRPr="00E4326E">
        <w:rPr>
          <w:rFonts w:asciiTheme="majorHAnsi" w:hAnsiTheme="majorHAnsi"/>
          <w:b/>
          <w:bCs/>
          <w:sz w:val="144"/>
          <w:szCs w:val="144"/>
          <w:lang w:val="fr-FR"/>
        </w:rPr>
        <w:t xml:space="preserve">4. </w:t>
      </w:r>
      <w:r w:rsidR="00E4326E" w:rsidRPr="00E4326E">
        <w:rPr>
          <w:rFonts w:asciiTheme="majorHAnsi" w:hAnsiTheme="majorHAnsi"/>
          <w:b/>
          <w:bCs/>
          <w:sz w:val="144"/>
          <w:szCs w:val="144"/>
          <w:lang w:val="fr-FR"/>
        </w:rPr>
        <w:t>Suivre et évaluer la performance</w:t>
      </w:r>
    </w:p>
    <w:p w14:paraId="1BCC267D" w14:textId="77777777" w:rsidR="003F5B26" w:rsidRPr="00E4326E" w:rsidRDefault="003F5B26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  <w:lang w:val="fr-FR"/>
        </w:rPr>
      </w:pPr>
    </w:p>
    <w:p w14:paraId="41985751" w14:textId="7360E845" w:rsidR="003F5B26" w:rsidRPr="00315DB0" w:rsidRDefault="007A15A5" w:rsidP="2A7A1304">
      <w:pPr>
        <w:spacing w:after="0" w:line="240" w:lineRule="auto"/>
        <w:jc w:val="center"/>
        <w:rPr>
          <w:rFonts w:asciiTheme="majorHAnsi" w:hAnsiTheme="majorHAnsi"/>
          <w:sz w:val="120"/>
          <w:szCs w:val="120"/>
          <w:lang w:val="fr-FR"/>
        </w:rPr>
      </w:pPr>
      <w:r w:rsidRPr="00315DB0">
        <w:rPr>
          <w:rFonts w:asciiTheme="majorHAnsi" w:hAnsiTheme="majorHAnsi"/>
          <w:b/>
          <w:bCs/>
          <w:sz w:val="120"/>
          <w:szCs w:val="120"/>
          <w:lang w:val="fr-FR"/>
        </w:rPr>
        <w:br w:type="page"/>
      </w:r>
      <w:r w:rsidR="2A7A1304" w:rsidRPr="00315DB0">
        <w:rPr>
          <w:rFonts w:asciiTheme="majorHAnsi" w:hAnsiTheme="majorHAnsi"/>
          <w:b/>
          <w:bCs/>
          <w:sz w:val="120"/>
          <w:szCs w:val="120"/>
          <w:lang w:val="fr-FR"/>
        </w:rPr>
        <w:lastRenderedPageBreak/>
        <w:t xml:space="preserve">5. </w:t>
      </w:r>
      <w:r w:rsidR="00E4326E" w:rsidRPr="00315DB0">
        <w:rPr>
          <w:rFonts w:asciiTheme="majorHAnsi" w:hAnsiTheme="majorHAnsi"/>
          <w:b/>
          <w:bCs/>
          <w:sz w:val="120"/>
          <w:szCs w:val="120"/>
          <w:lang w:val="fr-FR"/>
        </w:rPr>
        <w:t>Renforcer la capacité nationale</w:t>
      </w:r>
      <w:r w:rsidR="00E4326E" w:rsidRPr="00315DB0">
        <w:rPr>
          <w:rFonts w:asciiTheme="majorHAnsi" w:hAnsiTheme="majorHAnsi"/>
          <w:b/>
          <w:bCs/>
          <w:sz w:val="120"/>
          <w:szCs w:val="120"/>
          <w:lang w:val="fr-FR"/>
        </w:rPr>
        <w:br/>
        <w:t xml:space="preserve">dans la préparation aux urgences et </w:t>
      </w:r>
      <w:r w:rsidR="00CF23F1" w:rsidRPr="00315DB0">
        <w:rPr>
          <w:rFonts w:asciiTheme="majorHAnsi" w:hAnsiTheme="majorHAnsi"/>
          <w:b/>
          <w:bCs/>
          <w:sz w:val="120"/>
          <w:szCs w:val="120"/>
          <w:lang w:val="fr-FR"/>
        </w:rPr>
        <w:t>la mise en place de mesures d’urgence</w:t>
      </w:r>
    </w:p>
    <w:bookmarkEnd w:id="0"/>
    <w:p w14:paraId="36AC6365" w14:textId="240509F3" w:rsidR="2A7A1304" w:rsidRPr="00E4326E" w:rsidRDefault="2A7A1304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  <w:lang w:val="fr-FR"/>
        </w:rPr>
      </w:pPr>
      <w:r w:rsidRPr="00E4326E">
        <w:rPr>
          <w:rFonts w:asciiTheme="majorHAnsi" w:hAnsiTheme="majorHAnsi"/>
          <w:b/>
          <w:bCs/>
          <w:sz w:val="144"/>
          <w:szCs w:val="144"/>
          <w:lang w:val="fr-FR"/>
        </w:rPr>
        <w:br w:type="page"/>
      </w:r>
      <w:r w:rsidRPr="00E4326E">
        <w:rPr>
          <w:rFonts w:asciiTheme="majorHAnsi" w:hAnsiTheme="majorHAnsi"/>
          <w:b/>
          <w:bCs/>
          <w:sz w:val="144"/>
          <w:szCs w:val="144"/>
          <w:lang w:val="fr-FR"/>
        </w:rPr>
        <w:lastRenderedPageBreak/>
        <w:t xml:space="preserve">6. </w:t>
      </w:r>
      <w:r w:rsidR="00C3479B">
        <w:rPr>
          <w:rFonts w:asciiTheme="majorHAnsi" w:hAnsiTheme="majorHAnsi"/>
          <w:b/>
          <w:bCs/>
          <w:sz w:val="144"/>
          <w:szCs w:val="144"/>
          <w:lang w:val="fr-FR"/>
        </w:rPr>
        <w:t>Appuyer</w:t>
      </w:r>
      <w:r w:rsidR="00C3479B" w:rsidRPr="00E4326E">
        <w:rPr>
          <w:rFonts w:asciiTheme="majorHAnsi" w:hAnsiTheme="majorHAnsi"/>
          <w:b/>
          <w:bCs/>
          <w:sz w:val="144"/>
          <w:szCs w:val="144"/>
          <w:lang w:val="fr-FR"/>
        </w:rPr>
        <w:t xml:space="preserve"> </w:t>
      </w:r>
      <w:r w:rsidR="00CF23F1">
        <w:rPr>
          <w:rFonts w:asciiTheme="majorHAnsi" w:hAnsiTheme="majorHAnsi"/>
          <w:b/>
          <w:bCs/>
          <w:sz w:val="144"/>
          <w:szCs w:val="144"/>
          <w:lang w:val="fr-FR"/>
        </w:rPr>
        <w:t>un</w:t>
      </w:r>
      <w:r w:rsidR="00C3479B">
        <w:rPr>
          <w:rFonts w:asciiTheme="majorHAnsi" w:hAnsiTheme="majorHAnsi"/>
          <w:b/>
          <w:bCs/>
          <w:sz w:val="144"/>
          <w:szCs w:val="144"/>
          <w:lang w:val="fr-FR"/>
        </w:rPr>
        <w:t>e campagne de</w:t>
      </w:r>
      <w:r w:rsidR="00E4326E" w:rsidRPr="00E4326E">
        <w:rPr>
          <w:rFonts w:asciiTheme="majorHAnsi" w:hAnsiTheme="majorHAnsi"/>
          <w:b/>
          <w:bCs/>
          <w:sz w:val="144"/>
          <w:szCs w:val="144"/>
          <w:lang w:val="fr-FR"/>
        </w:rPr>
        <w:t xml:space="preserve"> plaidoyer</w:t>
      </w:r>
      <w:r w:rsidR="00CF23F1">
        <w:rPr>
          <w:rFonts w:asciiTheme="majorHAnsi" w:hAnsiTheme="majorHAnsi"/>
          <w:b/>
          <w:bCs/>
          <w:sz w:val="144"/>
          <w:szCs w:val="144"/>
          <w:lang w:val="fr-FR"/>
        </w:rPr>
        <w:t xml:space="preserve"> </w:t>
      </w:r>
      <w:r w:rsidR="00C3479B">
        <w:rPr>
          <w:rFonts w:asciiTheme="majorHAnsi" w:hAnsiTheme="majorHAnsi"/>
          <w:b/>
          <w:bCs/>
          <w:sz w:val="144"/>
          <w:szCs w:val="144"/>
          <w:lang w:val="fr-FR"/>
        </w:rPr>
        <w:t>efficac</w:t>
      </w:r>
      <w:r w:rsidR="00CF23F1">
        <w:rPr>
          <w:rFonts w:asciiTheme="majorHAnsi" w:hAnsiTheme="majorHAnsi"/>
          <w:b/>
          <w:bCs/>
          <w:sz w:val="144"/>
          <w:szCs w:val="144"/>
          <w:lang w:val="fr-FR"/>
        </w:rPr>
        <w:t>e</w:t>
      </w:r>
    </w:p>
    <w:p w14:paraId="3AC1FC6A" w14:textId="77777777" w:rsidR="003B0912" w:rsidRPr="00E4326E" w:rsidRDefault="003B0912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  <w:lang w:val="fr-FR"/>
        </w:rPr>
      </w:pPr>
    </w:p>
    <w:p w14:paraId="3EFD5263" w14:textId="77777777" w:rsidR="003B0912" w:rsidRPr="00E4326E" w:rsidRDefault="003B0912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  <w:lang w:val="fr-FR"/>
        </w:rPr>
      </w:pPr>
    </w:p>
    <w:p w14:paraId="174E7EAD" w14:textId="0129C6C6" w:rsidR="003B0912" w:rsidRPr="00E4326E" w:rsidRDefault="002224B4" w:rsidP="00E4326E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  <w:lang w:val="fr-FR" w:eastAsia="en-GB"/>
        </w:rPr>
      </w:pPr>
      <w:r>
        <w:rPr>
          <w:rFonts w:asciiTheme="majorHAnsi" w:hAnsiTheme="majorHAnsi"/>
          <w:b/>
          <w:bCs/>
          <w:sz w:val="144"/>
          <w:szCs w:val="144"/>
          <w:lang w:val="fr-FR"/>
        </w:rPr>
        <w:t>Redev</w:t>
      </w:r>
      <w:r w:rsidR="005E2D6C">
        <w:rPr>
          <w:rFonts w:asciiTheme="majorHAnsi" w:hAnsiTheme="majorHAnsi"/>
          <w:b/>
          <w:bCs/>
          <w:sz w:val="144"/>
          <w:szCs w:val="144"/>
          <w:lang w:val="fr-FR"/>
        </w:rPr>
        <w:t>abilité</w:t>
      </w:r>
      <w:r w:rsidR="005E2D6C" w:rsidRPr="00E4326E">
        <w:rPr>
          <w:rFonts w:asciiTheme="majorHAnsi" w:hAnsiTheme="majorHAnsi"/>
          <w:b/>
          <w:bCs/>
          <w:sz w:val="144"/>
          <w:szCs w:val="144"/>
          <w:lang w:val="fr-FR"/>
        </w:rPr>
        <w:t xml:space="preserve"> </w:t>
      </w:r>
      <w:r w:rsidR="005E2D6C">
        <w:rPr>
          <w:rFonts w:asciiTheme="majorHAnsi" w:hAnsiTheme="majorHAnsi"/>
          <w:b/>
          <w:bCs/>
          <w:sz w:val="144"/>
          <w:szCs w:val="144"/>
          <w:lang w:val="fr-FR"/>
        </w:rPr>
        <w:t>envers les</w:t>
      </w:r>
      <w:r w:rsidR="00E4326E" w:rsidRPr="00E4326E">
        <w:rPr>
          <w:rFonts w:asciiTheme="majorHAnsi" w:hAnsiTheme="majorHAnsi"/>
          <w:b/>
          <w:bCs/>
          <w:sz w:val="144"/>
          <w:szCs w:val="144"/>
          <w:lang w:val="fr-FR"/>
        </w:rPr>
        <w:t xml:space="preserve"> personnes affectées</w:t>
      </w:r>
    </w:p>
    <w:sectPr w:rsidR="003B0912" w:rsidRPr="00E4326E" w:rsidSect="00315DB0">
      <w:footerReference w:type="default" r:id="rId7"/>
      <w:pgSz w:w="16840" w:h="11900" w:orient="landscape"/>
      <w:pgMar w:top="180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635BE" w14:textId="77777777" w:rsidR="00D26F32" w:rsidRDefault="00D26F32" w:rsidP="00145BF6">
      <w:pPr>
        <w:spacing w:after="0" w:line="240" w:lineRule="auto"/>
      </w:pPr>
      <w:r>
        <w:separator/>
      </w:r>
    </w:p>
  </w:endnote>
  <w:endnote w:type="continuationSeparator" w:id="0">
    <w:p w14:paraId="348F2F6B" w14:textId="77777777" w:rsidR="00D26F32" w:rsidRDefault="00D26F32" w:rsidP="0014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D52A6" w14:textId="402D8E17" w:rsidR="00CB1D84" w:rsidRPr="00315DB0" w:rsidRDefault="00CB1D84">
    <w:pPr>
      <w:pStyle w:val="Footer"/>
      <w:rPr>
        <w:noProof/>
        <w:color w:val="A6A6A6" w:themeColor="background1" w:themeShade="A6"/>
        <w:lang w:val="fr-FR"/>
      </w:rPr>
    </w:pPr>
    <w:r w:rsidRPr="00315DB0">
      <w:rPr>
        <w:noProof/>
        <w:color w:val="A6A6A6" w:themeColor="background1" w:themeShade="A6"/>
        <w:lang w:val="fr-FR"/>
      </w:rPr>
      <w:fldChar w:fldCharType="begin"/>
    </w:r>
    <w:r w:rsidRPr="00315DB0">
      <w:rPr>
        <w:noProof/>
        <w:color w:val="A6A6A6" w:themeColor="background1" w:themeShade="A6"/>
        <w:lang w:val="fr-FR"/>
      </w:rPr>
      <w:instrText xml:space="preserve"> FILENAME   \* MERGEFORMAT </w:instrText>
    </w:r>
    <w:r w:rsidRPr="00315DB0">
      <w:rPr>
        <w:noProof/>
        <w:color w:val="A6A6A6" w:themeColor="background1" w:themeShade="A6"/>
        <w:lang w:val="fr-FR"/>
      </w:rPr>
      <w:fldChar w:fldCharType="separate"/>
    </w:r>
    <w:r w:rsidRPr="00315DB0">
      <w:rPr>
        <w:noProof/>
        <w:color w:val="A6A6A6" w:themeColor="background1" w:themeShade="A6"/>
        <w:lang w:val="fr-FR"/>
      </w:rPr>
      <w:t xml:space="preserve">1.3 </w:t>
    </w:r>
    <w:r w:rsidR="00AD303F" w:rsidRPr="00315DB0">
      <w:rPr>
        <w:noProof/>
        <w:color w:val="A6A6A6" w:themeColor="background1" w:themeShade="A6"/>
        <w:lang w:val="fr-FR"/>
      </w:rPr>
      <w:t>R Fonctions Principales de Cluster</w:t>
    </w:r>
    <w:r w:rsidRPr="00315DB0">
      <w:rPr>
        <w:noProof/>
        <w:color w:val="A6A6A6" w:themeColor="background1" w:themeShade="A6"/>
        <w:lang w:val="fr-FR"/>
      </w:rPr>
      <w:t xml:space="preserve"> </w:t>
    </w:r>
    <w:r w:rsidR="00FF7951" w:rsidRPr="00315DB0">
      <w:rPr>
        <w:noProof/>
        <w:color w:val="A6A6A6" w:themeColor="background1" w:themeShade="A6"/>
        <w:lang w:val="fr-FR"/>
      </w:rPr>
      <w:t>(à accrocher au mur)</w:t>
    </w:r>
    <w:r w:rsidRPr="00315DB0">
      <w:rPr>
        <w:noProof/>
        <w:color w:val="A6A6A6" w:themeColor="background1" w:themeShade="A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BF87A" w14:textId="77777777" w:rsidR="00D26F32" w:rsidRDefault="00D26F32" w:rsidP="00145BF6">
      <w:pPr>
        <w:spacing w:after="0" w:line="240" w:lineRule="auto"/>
      </w:pPr>
      <w:r>
        <w:separator/>
      </w:r>
    </w:p>
  </w:footnote>
  <w:footnote w:type="continuationSeparator" w:id="0">
    <w:p w14:paraId="21DA279B" w14:textId="77777777" w:rsidR="00D26F32" w:rsidRDefault="00D26F32" w:rsidP="00145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4325"/>
    <w:multiLevelType w:val="hybridMultilevel"/>
    <w:tmpl w:val="509E4032"/>
    <w:lvl w:ilvl="0" w:tplc="FFFFFFFF">
      <w:start w:val="1"/>
      <w:numFmt w:val="decimal"/>
      <w:pStyle w:val="Liste123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55470"/>
    <w:multiLevelType w:val="hybridMultilevel"/>
    <w:tmpl w:val="3238049E"/>
    <w:lvl w:ilvl="0" w:tplc="9F90FA0C">
      <w:start w:val="1"/>
      <w:numFmt w:val="decimal"/>
      <w:lvlText w:val="%1."/>
      <w:lvlJc w:val="left"/>
      <w:pPr>
        <w:ind w:left="720" w:hanging="360"/>
      </w:pPr>
    </w:lvl>
    <w:lvl w:ilvl="1" w:tplc="6B1208D6">
      <w:start w:val="1"/>
      <w:numFmt w:val="lowerLetter"/>
      <w:lvlText w:val="%2."/>
      <w:lvlJc w:val="left"/>
      <w:pPr>
        <w:ind w:left="1440" w:hanging="360"/>
      </w:pPr>
    </w:lvl>
    <w:lvl w:ilvl="2" w:tplc="3C06411C">
      <w:start w:val="1"/>
      <w:numFmt w:val="lowerRoman"/>
      <w:lvlText w:val="%3."/>
      <w:lvlJc w:val="right"/>
      <w:pPr>
        <w:ind w:left="2160" w:hanging="180"/>
      </w:pPr>
    </w:lvl>
    <w:lvl w:ilvl="3" w:tplc="38209EEE">
      <w:start w:val="1"/>
      <w:numFmt w:val="decimal"/>
      <w:lvlText w:val="%4."/>
      <w:lvlJc w:val="left"/>
      <w:pPr>
        <w:ind w:left="2880" w:hanging="360"/>
      </w:pPr>
    </w:lvl>
    <w:lvl w:ilvl="4" w:tplc="A0E4F142">
      <w:start w:val="1"/>
      <w:numFmt w:val="lowerLetter"/>
      <w:lvlText w:val="%5."/>
      <w:lvlJc w:val="left"/>
      <w:pPr>
        <w:ind w:left="3600" w:hanging="360"/>
      </w:pPr>
    </w:lvl>
    <w:lvl w:ilvl="5" w:tplc="1A64B090">
      <w:start w:val="1"/>
      <w:numFmt w:val="lowerRoman"/>
      <w:lvlText w:val="%6."/>
      <w:lvlJc w:val="right"/>
      <w:pPr>
        <w:ind w:left="4320" w:hanging="180"/>
      </w:pPr>
    </w:lvl>
    <w:lvl w:ilvl="6" w:tplc="F5D486A0">
      <w:start w:val="1"/>
      <w:numFmt w:val="decimal"/>
      <w:lvlText w:val="%7."/>
      <w:lvlJc w:val="left"/>
      <w:pPr>
        <w:ind w:left="5040" w:hanging="360"/>
      </w:pPr>
    </w:lvl>
    <w:lvl w:ilvl="7" w:tplc="2564D0C8">
      <w:start w:val="1"/>
      <w:numFmt w:val="lowerLetter"/>
      <w:lvlText w:val="%8."/>
      <w:lvlJc w:val="left"/>
      <w:pPr>
        <w:ind w:left="5760" w:hanging="360"/>
      </w:pPr>
    </w:lvl>
    <w:lvl w:ilvl="8" w:tplc="451A7E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3262"/>
    <w:multiLevelType w:val="hybridMultilevel"/>
    <w:tmpl w:val="1102C714"/>
    <w:lvl w:ilvl="0" w:tplc="D35624CA">
      <w:start w:val="1"/>
      <w:numFmt w:val="decimal"/>
      <w:lvlText w:val="%1."/>
      <w:lvlJc w:val="left"/>
      <w:pPr>
        <w:ind w:left="720" w:hanging="360"/>
      </w:pPr>
    </w:lvl>
    <w:lvl w:ilvl="1" w:tplc="B85E9334">
      <w:start w:val="1"/>
      <w:numFmt w:val="lowerLetter"/>
      <w:lvlText w:val="%2."/>
      <w:lvlJc w:val="left"/>
      <w:pPr>
        <w:ind w:left="1440" w:hanging="360"/>
      </w:pPr>
    </w:lvl>
    <w:lvl w:ilvl="2" w:tplc="B36E025A">
      <w:start w:val="1"/>
      <w:numFmt w:val="lowerRoman"/>
      <w:lvlText w:val="%3."/>
      <w:lvlJc w:val="right"/>
      <w:pPr>
        <w:ind w:left="2160" w:hanging="180"/>
      </w:pPr>
    </w:lvl>
    <w:lvl w:ilvl="3" w:tplc="9368AA56">
      <w:start w:val="1"/>
      <w:numFmt w:val="decimal"/>
      <w:lvlText w:val="%4."/>
      <w:lvlJc w:val="left"/>
      <w:pPr>
        <w:ind w:left="2880" w:hanging="360"/>
      </w:pPr>
    </w:lvl>
    <w:lvl w:ilvl="4" w:tplc="52C6DC2C">
      <w:start w:val="1"/>
      <w:numFmt w:val="lowerLetter"/>
      <w:lvlText w:val="%5."/>
      <w:lvlJc w:val="left"/>
      <w:pPr>
        <w:ind w:left="3600" w:hanging="360"/>
      </w:pPr>
    </w:lvl>
    <w:lvl w:ilvl="5" w:tplc="22C2E98A">
      <w:start w:val="1"/>
      <w:numFmt w:val="lowerRoman"/>
      <w:lvlText w:val="%6."/>
      <w:lvlJc w:val="right"/>
      <w:pPr>
        <w:ind w:left="4320" w:hanging="180"/>
      </w:pPr>
    </w:lvl>
    <w:lvl w:ilvl="6" w:tplc="D66CA2C0">
      <w:start w:val="1"/>
      <w:numFmt w:val="decimal"/>
      <w:lvlText w:val="%7."/>
      <w:lvlJc w:val="left"/>
      <w:pPr>
        <w:ind w:left="5040" w:hanging="360"/>
      </w:pPr>
    </w:lvl>
    <w:lvl w:ilvl="7" w:tplc="4BDE15DC">
      <w:start w:val="1"/>
      <w:numFmt w:val="lowerLetter"/>
      <w:lvlText w:val="%8."/>
      <w:lvlJc w:val="left"/>
      <w:pPr>
        <w:ind w:left="5760" w:hanging="360"/>
      </w:pPr>
    </w:lvl>
    <w:lvl w:ilvl="8" w:tplc="0150BF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26"/>
    <w:rsid w:val="00076083"/>
    <w:rsid w:val="00145BF6"/>
    <w:rsid w:val="002224B4"/>
    <w:rsid w:val="00304A97"/>
    <w:rsid w:val="00315DB0"/>
    <w:rsid w:val="00331620"/>
    <w:rsid w:val="003B0912"/>
    <w:rsid w:val="003F5B26"/>
    <w:rsid w:val="003F6B1B"/>
    <w:rsid w:val="005E2D6C"/>
    <w:rsid w:val="007A15A5"/>
    <w:rsid w:val="00A019DB"/>
    <w:rsid w:val="00AD303F"/>
    <w:rsid w:val="00AF620B"/>
    <w:rsid w:val="00C3479B"/>
    <w:rsid w:val="00CB1D84"/>
    <w:rsid w:val="00CF23F1"/>
    <w:rsid w:val="00D26F32"/>
    <w:rsid w:val="00E4326E"/>
    <w:rsid w:val="00E632F5"/>
    <w:rsid w:val="00EA70B8"/>
    <w:rsid w:val="00EC051B"/>
    <w:rsid w:val="00EE5000"/>
    <w:rsid w:val="00FF7951"/>
    <w:rsid w:val="2A7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17900"/>
  <w14:defaultImageDpi w14:val="300"/>
  <w15:docId w15:val="{F36140DF-A355-4DB3-B86E-173C260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B26"/>
    <w:pPr>
      <w:keepLines/>
      <w:spacing w:after="200" w:line="276" w:lineRule="auto"/>
      <w:jc w:val="both"/>
    </w:pPr>
    <w:rPr>
      <w:rFonts w:ascii="Arial" w:eastAsiaTheme="minorHAnsi" w:hAnsi="Arial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26"/>
    <w:pPr>
      <w:numPr>
        <w:numId w:val="3"/>
      </w:numPr>
      <w:ind w:left="360"/>
      <w:contextualSpacing/>
    </w:pPr>
    <w:rPr>
      <w:rFonts w:cstheme="minorHAnsi"/>
      <w:lang w:val="en-US"/>
    </w:rPr>
  </w:style>
  <w:style w:type="paragraph" w:customStyle="1" w:styleId="Liste123">
    <w:name w:val="Liste 123"/>
    <w:basedOn w:val="ListParagraph"/>
    <w:qFormat/>
    <w:rsid w:val="003F5B26"/>
    <w:pPr>
      <w:numPr>
        <w:numId w:val="4"/>
      </w:numPr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F6"/>
    <w:rPr>
      <w:rFonts w:ascii="Segoe UI" w:eastAsiaTheme="minorHAns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5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F6"/>
    <w:rPr>
      <w:rFonts w:ascii="Arial" w:eastAsiaTheme="minorHAnsi" w:hAnsi="Arial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5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F6"/>
    <w:rPr>
      <w:rFonts w:ascii="Arial" w:eastAsiaTheme="minorHAnsi" w:hAnsi="Arial"/>
      <w:sz w:val="20"/>
      <w:szCs w:val="22"/>
      <w:lang w:val="en-GB"/>
    </w:rPr>
  </w:style>
  <w:style w:type="paragraph" w:styleId="Revision">
    <w:name w:val="Revision"/>
    <w:hidden/>
    <w:uiPriority w:val="99"/>
    <w:semiHidden/>
    <w:rsid w:val="00315DB0"/>
    <w:rPr>
      <w:rFonts w:ascii="Arial" w:eastAsiaTheme="minorHAnsi" w:hAnsi="Arial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EMOPSGCCU-1435067120-27923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https://unicef.sharepoint.com/teams/EMOPS-GCCU/_layouts/15/DocIdRedir.aspx?ID=EMOPSGCCU-1435067120-27923</Url>
      <Description>EMOPSGCCU-1435067120-27923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6A8E6C9-496D-484A-9FD9-930F05FAADEE}"/>
</file>

<file path=customXml/itemProps2.xml><?xml version="1.0" encoding="utf-8"?>
<ds:datastoreItem xmlns:ds="http://schemas.openxmlformats.org/officeDocument/2006/customXml" ds:itemID="{0E4720E5-39D6-4FBD-B2DA-FD84A715B321}"/>
</file>

<file path=customXml/itemProps3.xml><?xml version="1.0" encoding="utf-8"?>
<ds:datastoreItem xmlns:ds="http://schemas.openxmlformats.org/officeDocument/2006/customXml" ds:itemID="{0E39C346-803B-499C-BA1A-6403974C82E5}"/>
</file>

<file path=customXml/itemProps4.xml><?xml version="1.0" encoding="utf-8"?>
<ds:datastoreItem xmlns:ds="http://schemas.openxmlformats.org/officeDocument/2006/customXml" ds:itemID="{A66D0013-A163-4587-8A11-5EDE59EA1A8C}"/>
</file>

<file path=customXml/itemProps5.xml><?xml version="1.0" encoding="utf-8"?>
<ds:datastoreItem xmlns:ds="http://schemas.openxmlformats.org/officeDocument/2006/customXml" ds:itemID="{B59B7EE0-9C52-4579-969A-DA869A3C7E6A}"/>
</file>

<file path=customXml/itemProps6.xml><?xml version="1.0" encoding="utf-8"?>
<ds:datastoreItem xmlns:ds="http://schemas.openxmlformats.org/officeDocument/2006/customXml" ds:itemID="{A4A607CB-5022-4749-B27C-FB1A4D9BD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/>
  <dc:description/>
  <cp:lastModifiedBy>Angeline Grant</cp:lastModifiedBy>
  <cp:revision>2</cp:revision>
  <cp:lastPrinted>2017-10-17T11:26:00Z</cp:lastPrinted>
  <dcterms:created xsi:type="dcterms:W3CDTF">2019-05-16T14:05:00Z</dcterms:created>
  <dcterms:modified xsi:type="dcterms:W3CDTF">2019-05-16T14:05:00Z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360292db-1995-40e7-9f64-3f159077956e</vt:lpwstr>
  </property>
  <property fmtid="{D5CDD505-2E9C-101B-9397-08002B2CF9AE}" pid="5" name="TaxKeyword">
    <vt:lpwstr/>
  </property>
</Properties>
</file>