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9B9C" w14:textId="4A1A1837" w:rsidR="003F5B26" w:rsidRPr="003F5B26" w:rsidRDefault="007A15A5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  <w:bookmarkStart w:id="0" w:name="_Hlk320914110"/>
      <w:r>
        <w:rPr>
          <w:rFonts w:asciiTheme="majorHAnsi" w:hAnsiTheme="majorHAnsi"/>
          <w:b/>
          <w:sz w:val="144"/>
          <w:szCs w:val="120"/>
        </w:rPr>
        <w:t xml:space="preserve">1. </w:t>
      </w:r>
      <w:r w:rsidR="003F5B26" w:rsidRPr="003F5B26">
        <w:rPr>
          <w:rFonts w:asciiTheme="majorHAnsi" w:hAnsiTheme="majorHAnsi"/>
          <w:b/>
          <w:sz w:val="144"/>
          <w:szCs w:val="120"/>
        </w:rPr>
        <w:t>Supporting service delivery</w:t>
      </w:r>
    </w:p>
    <w:p w14:paraId="31BFF4BC" w14:textId="1BC8F566" w:rsidR="003F5B26" w:rsidRPr="003F5B26" w:rsidRDefault="0068316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E8B4322" wp14:editId="72ECA9AC">
            <wp:simplePos x="0" y="0"/>
            <wp:positionH relativeFrom="column">
              <wp:posOffset>3962400</wp:posOffset>
            </wp:positionH>
            <wp:positionV relativeFrom="paragraph">
              <wp:posOffset>172720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5A5"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2. Informing strategic decision-making of the HC/HCT for the humanitarian response</w:t>
      </w:r>
    </w:p>
    <w:p w14:paraId="56367D46" w14:textId="077B004E" w:rsidR="2A7A1304" w:rsidRDefault="00683164">
      <w:r>
        <w:rPr>
          <w:noProof/>
        </w:rPr>
        <w:drawing>
          <wp:anchor distT="0" distB="0" distL="114300" distR="114300" simplePos="0" relativeHeight="251656192" behindDoc="0" locked="0" layoutInCell="1" allowOverlap="1" wp14:anchorId="467A70BC" wp14:editId="47931FDC">
            <wp:simplePos x="0" y="0"/>
            <wp:positionH relativeFrom="column">
              <wp:posOffset>3943350</wp:posOffset>
            </wp:positionH>
            <wp:positionV relativeFrom="paragraph">
              <wp:posOffset>61595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A1304">
        <w:br w:type="page"/>
      </w:r>
    </w:p>
    <w:p w14:paraId="174F2C4E" w14:textId="71A95200" w:rsidR="2A7A1304" w:rsidRDefault="00683164" w:rsidP="2A7A1304">
      <w:pPr>
        <w:ind w:left="360"/>
        <w:jc w:val="center"/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338529C" wp14:editId="21051341">
            <wp:simplePos x="0" y="0"/>
            <wp:positionH relativeFrom="column">
              <wp:posOffset>4267200</wp:posOffset>
            </wp:positionH>
            <wp:positionV relativeFrom="paragraph">
              <wp:posOffset>4110990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A1304" w:rsidRPr="2A7A1304">
        <w:rPr>
          <w:rFonts w:asciiTheme="majorHAnsi" w:eastAsiaTheme="majorEastAsia" w:hAnsiTheme="majorHAnsi" w:cstheme="majorBidi"/>
          <w:b/>
          <w:bCs/>
          <w:sz w:val="144"/>
          <w:szCs w:val="144"/>
        </w:rPr>
        <w:t>3. P</w:t>
      </w:r>
      <w:proofErr w:type="spellStart"/>
      <w:r w:rsidR="2A7A1304"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>lanning</w:t>
      </w:r>
      <w:proofErr w:type="spellEnd"/>
      <w:r w:rsidR="2A7A1304"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 xml:space="preserve"> and implementing cluster strategies</w:t>
      </w:r>
    </w:p>
    <w:p w14:paraId="1CC889CE" w14:textId="04EB7DDF" w:rsidR="2A7A1304" w:rsidRDefault="2A7A1304"/>
    <w:p w14:paraId="31B634F8" w14:textId="3300778C" w:rsidR="2A7A1304" w:rsidRDefault="00683164" w:rsidP="2A7A1304">
      <w:pPr>
        <w:pStyle w:val="Liste123"/>
        <w:numPr>
          <w:ilvl w:val="0"/>
          <w:numId w:val="0"/>
        </w:numPr>
        <w:spacing w:after="0"/>
        <w:ind w:left="-360"/>
        <w:jc w:val="center"/>
        <w:rPr>
          <w:rFonts w:asciiTheme="majorHAnsi" w:hAnsiTheme="majorHAnsi"/>
          <w:b/>
          <w:bCs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CB2FE9" wp14:editId="3D739202">
            <wp:simplePos x="0" y="0"/>
            <wp:positionH relativeFrom="column">
              <wp:posOffset>3971925</wp:posOffset>
            </wp:positionH>
            <wp:positionV relativeFrom="paragraph">
              <wp:posOffset>3143250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t>4. Monitoring and Evaluating Performance</w:t>
      </w:r>
    </w:p>
    <w:p w14:paraId="1BCC267D" w14:textId="61C3E3A1" w:rsidR="003F5B26" w:rsidRP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</w:p>
    <w:p w14:paraId="41985751" w14:textId="3DE34D20" w:rsidR="003F5B26" w:rsidRPr="003F5B26" w:rsidRDefault="007A15A5" w:rsidP="2A7A1304">
      <w:pPr>
        <w:spacing w:after="0" w:line="240" w:lineRule="auto"/>
        <w:jc w:val="center"/>
        <w:rPr>
          <w:rFonts w:asciiTheme="majorHAnsi" w:hAnsiTheme="majorHAnsi"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5. Building National Capacity in Preparedness and Contingency Planning</w:t>
      </w:r>
    </w:p>
    <w:bookmarkEnd w:id="0"/>
    <w:p w14:paraId="36AC6365" w14:textId="59A8731D" w:rsidR="2A7A1304" w:rsidRDefault="0068316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58E0C1" wp14:editId="1F039391">
            <wp:simplePos x="0" y="0"/>
            <wp:positionH relativeFrom="column">
              <wp:posOffset>3962400</wp:posOffset>
            </wp:positionH>
            <wp:positionV relativeFrom="paragraph">
              <wp:posOffset>285750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 xml:space="preserve">6. Supporting robust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5E7E8" wp14:editId="19D404EA">
            <wp:simplePos x="0" y="0"/>
            <wp:positionH relativeFrom="column">
              <wp:posOffset>3962400</wp:posOffset>
            </wp:positionH>
            <wp:positionV relativeFrom="paragraph">
              <wp:posOffset>2641600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t>advocacy</w:t>
      </w:r>
    </w:p>
    <w:p w14:paraId="3AC1FC6A" w14:textId="12F4F004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3EFD5263" w14:textId="77777777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174E7EAD" w14:textId="0B9F89CB" w:rsidR="003B0912" w:rsidRDefault="0068316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en-U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E42A11" wp14:editId="1B1270C5">
            <wp:simplePos x="0" y="0"/>
            <wp:positionH relativeFrom="column">
              <wp:posOffset>3962400</wp:posOffset>
            </wp:positionH>
            <wp:positionV relativeFrom="paragraph">
              <wp:posOffset>2525395</wp:posOffset>
            </wp:positionV>
            <wp:extent cx="922020" cy="327660"/>
            <wp:effectExtent l="0" t="0" r="0" b="0"/>
            <wp:wrapThrough wrapText="bothSides">
              <wp:wrapPolygon edited="0">
                <wp:start x="893" y="0"/>
                <wp:lineTo x="0" y="12558"/>
                <wp:lineTo x="0" y="20093"/>
                <wp:lineTo x="4017" y="20093"/>
                <wp:lineTo x="20975" y="20093"/>
                <wp:lineTo x="20975" y="6279"/>
                <wp:lineTo x="14727" y="0"/>
                <wp:lineTo x="893" y="0"/>
              </wp:wrapPolygon>
            </wp:wrapThrough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A9462F-22BA-4249-B934-22E33B612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2A9462F-22BA-4249-B934-22E33B612D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12">
        <w:rPr>
          <w:rFonts w:asciiTheme="majorHAnsi" w:hAnsiTheme="majorHAnsi"/>
          <w:b/>
          <w:bCs/>
          <w:sz w:val="144"/>
          <w:szCs w:val="144"/>
        </w:rPr>
        <w:t>Accountability to the Affected Pe</w:t>
      </w:r>
      <w:bookmarkStart w:id="1" w:name="_GoBack"/>
      <w:bookmarkEnd w:id="1"/>
      <w:r w:rsidR="003B0912">
        <w:rPr>
          <w:rFonts w:asciiTheme="majorHAnsi" w:hAnsiTheme="majorHAnsi"/>
          <w:b/>
          <w:bCs/>
          <w:sz w:val="144"/>
          <w:szCs w:val="144"/>
        </w:rPr>
        <w:t>ople</w:t>
      </w:r>
    </w:p>
    <w:sectPr w:rsidR="003B0912" w:rsidSect="003F5B26">
      <w:footerReference w:type="default" r:id="rId14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B984" w14:textId="77777777" w:rsidR="00076083" w:rsidRDefault="00076083" w:rsidP="00145BF6">
      <w:pPr>
        <w:spacing w:after="0" w:line="240" w:lineRule="auto"/>
      </w:pPr>
      <w:r>
        <w:separator/>
      </w:r>
    </w:p>
  </w:endnote>
  <w:endnote w:type="continuationSeparator" w:id="0">
    <w:p w14:paraId="1E5D9F3A" w14:textId="77777777" w:rsidR="00076083" w:rsidRDefault="00076083" w:rsidP="001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52A6" w14:textId="6B677303" w:rsidR="00145BF6" w:rsidRPr="00145BF6" w:rsidRDefault="00145BF6">
    <w:pPr>
      <w:pStyle w:val="Footer"/>
      <w:rPr>
        <w:color w:val="A6A6A6" w:themeColor="background1" w:themeShade="A6"/>
      </w:rPr>
    </w:pPr>
    <w:r w:rsidRPr="00145BF6">
      <w:rPr>
        <w:color w:val="A6A6A6" w:themeColor="background1" w:themeShade="A6"/>
      </w:rPr>
      <w:fldChar w:fldCharType="begin"/>
    </w:r>
    <w:r w:rsidRPr="00145BF6">
      <w:rPr>
        <w:color w:val="A6A6A6" w:themeColor="background1" w:themeShade="A6"/>
      </w:rPr>
      <w:instrText xml:space="preserve"> FILENAME   \* MERGEFORMAT </w:instrText>
    </w:r>
    <w:r w:rsidRPr="00145BF6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1.3 R Core Cluster Functions (for hanging on walls)</w:t>
    </w:r>
    <w:r w:rsidRPr="00145BF6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AF69" w14:textId="77777777" w:rsidR="00076083" w:rsidRDefault="00076083" w:rsidP="00145BF6">
      <w:pPr>
        <w:spacing w:after="0" w:line="240" w:lineRule="auto"/>
      </w:pPr>
      <w:r>
        <w:separator/>
      </w:r>
    </w:p>
  </w:footnote>
  <w:footnote w:type="continuationSeparator" w:id="0">
    <w:p w14:paraId="354666CA" w14:textId="77777777" w:rsidR="00076083" w:rsidRDefault="00076083" w:rsidP="0014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FFFFFFFF">
      <w:start w:val="1"/>
      <w:numFmt w:val="decimal"/>
      <w:pStyle w:val="Liste12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55470"/>
    <w:multiLevelType w:val="hybridMultilevel"/>
    <w:tmpl w:val="3238049E"/>
    <w:lvl w:ilvl="0" w:tplc="9F90FA0C">
      <w:start w:val="1"/>
      <w:numFmt w:val="decimal"/>
      <w:lvlText w:val="%1."/>
      <w:lvlJc w:val="left"/>
      <w:pPr>
        <w:ind w:left="720" w:hanging="360"/>
      </w:pPr>
    </w:lvl>
    <w:lvl w:ilvl="1" w:tplc="6B1208D6">
      <w:start w:val="1"/>
      <w:numFmt w:val="lowerLetter"/>
      <w:lvlText w:val="%2."/>
      <w:lvlJc w:val="left"/>
      <w:pPr>
        <w:ind w:left="1440" w:hanging="360"/>
      </w:pPr>
    </w:lvl>
    <w:lvl w:ilvl="2" w:tplc="3C06411C">
      <w:start w:val="1"/>
      <w:numFmt w:val="lowerRoman"/>
      <w:lvlText w:val="%3."/>
      <w:lvlJc w:val="right"/>
      <w:pPr>
        <w:ind w:left="2160" w:hanging="180"/>
      </w:pPr>
    </w:lvl>
    <w:lvl w:ilvl="3" w:tplc="38209EEE">
      <w:start w:val="1"/>
      <w:numFmt w:val="decimal"/>
      <w:lvlText w:val="%4."/>
      <w:lvlJc w:val="left"/>
      <w:pPr>
        <w:ind w:left="2880" w:hanging="360"/>
      </w:pPr>
    </w:lvl>
    <w:lvl w:ilvl="4" w:tplc="A0E4F142">
      <w:start w:val="1"/>
      <w:numFmt w:val="lowerLetter"/>
      <w:lvlText w:val="%5."/>
      <w:lvlJc w:val="left"/>
      <w:pPr>
        <w:ind w:left="3600" w:hanging="360"/>
      </w:pPr>
    </w:lvl>
    <w:lvl w:ilvl="5" w:tplc="1A64B090">
      <w:start w:val="1"/>
      <w:numFmt w:val="lowerRoman"/>
      <w:lvlText w:val="%6."/>
      <w:lvlJc w:val="right"/>
      <w:pPr>
        <w:ind w:left="4320" w:hanging="180"/>
      </w:pPr>
    </w:lvl>
    <w:lvl w:ilvl="6" w:tplc="F5D486A0">
      <w:start w:val="1"/>
      <w:numFmt w:val="decimal"/>
      <w:lvlText w:val="%7."/>
      <w:lvlJc w:val="left"/>
      <w:pPr>
        <w:ind w:left="5040" w:hanging="360"/>
      </w:pPr>
    </w:lvl>
    <w:lvl w:ilvl="7" w:tplc="2564D0C8">
      <w:start w:val="1"/>
      <w:numFmt w:val="lowerLetter"/>
      <w:lvlText w:val="%8."/>
      <w:lvlJc w:val="left"/>
      <w:pPr>
        <w:ind w:left="5760" w:hanging="360"/>
      </w:pPr>
    </w:lvl>
    <w:lvl w:ilvl="8" w:tplc="451A7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262"/>
    <w:multiLevelType w:val="hybridMultilevel"/>
    <w:tmpl w:val="1102C714"/>
    <w:lvl w:ilvl="0" w:tplc="D35624CA">
      <w:start w:val="1"/>
      <w:numFmt w:val="decimal"/>
      <w:lvlText w:val="%1."/>
      <w:lvlJc w:val="left"/>
      <w:pPr>
        <w:ind w:left="720" w:hanging="360"/>
      </w:pPr>
    </w:lvl>
    <w:lvl w:ilvl="1" w:tplc="B85E9334">
      <w:start w:val="1"/>
      <w:numFmt w:val="lowerLetter"/>
      <w:lvlText w:val="%2."/>
      <w:lvlJc w:val="left"/>
      <w:pPr>
        <w:ind w:left="1440" w:hanging="360"/>
      </w:pPr>
    </w:lvl>
    <w:lvl w:ilvl="2" w:tplc="B36E025A">
      <w:start w:val="1"/>
      <w:numFmt w:val="lowerRoman"/>
      <w:lvlText w:val="%3."/>
      <w:lvlJc w:val="right"/>
      <w:pPr>
        <w:ind w:left="2160" w:hanging="180"/>
      </w:pPr>
    </w:lvl>
    <w:lvl w:ilvl="3" w:tplc="9368AA56">
      <w:start w:val="1"/>
      <w:numFmt w:val="decimal"/>
      <w:lvlText w:val="%4."/>
      <w:lvlJc w:val="left"/>
      <w:pPr>
        <w:ind w:left="2880" w:hanging="360"/>
      </w:pPr>
    </w:lvl>
    <w:lvl w:ilvl="4" w:tplc="52C6DC2C">
      <w:start w:val="1"/>
      <w:numFmt w:val="lowerLetter"/>
      <w:lvlText w:val="%5."/>
      <w:lvlJc w:val="left"/>
      <w:pPr>
        <w:ind w:left="3600" w:hanging="360"/>
      </w:pPr>
    </w:lvl>
    <w:lvl w:ilvl="5" w:tplc="22C2E98A">
      <w:start w:val="1"/>
      <w:numFmt w:val="lowerRoman"/>
      <w:lvlText w:val="%6."/>
      <w:lvlJc w:val="right"/>
      <w:pPr>
        <w:ind w:left="4320" w:hanging="180"/>
      </w:pPr>
    </w:lvl>
    <w:lvl w:ilvl="6" w:tplc="D66CA2C0">
      <w:start w:val="1"/>
      <w:numFmt w:val="decimal"/>
      <w:lvlText w:val="%7."/>
      <w:lvlJc w:val="left"/>
      <w:pPr>
        <w:ind w:left="5040" w:hanging="360"/>
      </w:pPr>
    </w:lvl>
    <w:lvl w:ilvl="7" w:tplc="4BDE15DC">
      <w:start w:val="1"/>
      <w:numFmt w:val="lowerLetter"/>
      <w:lvlText w:val="%8."/>
      <w:lvlJc w:val="left"/>
      <w:pPr>
        <w:ind w:left="5760" w:hanging="360"/>
      </w:pPr>
    </w:lvl>
    <w:lvl w:ilvl="8" w:tplc="0150B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26"/>
    <w:rsid w:val="00076083"/>
    <w:rsid w:val="00145BF6"/>
    <w:rsid w:val="003B0912"/>
    <w:rsid w:val="003F5B26"/>
    <w:rsid w:val="00683164"/>
    <w:rsid w:val="007A15A5"/>
    <w:rsid w:val="00A019DB"/>
    <w:rsid w:val="00E632F5"/>
    <w:rsid w:val="00EA70B8"/>
    <w:rsid w:val="00EC051B"/>
    <w:rsid w:val="00EE5000"/>
    <w:rsid w:val="2A7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7900"/>
  <w14:defaultImageDpi w14:val="300"/>
  <w15:docId w15:val="{58C573B8-3043-427B-94CD-B3D61DD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26"/>
    <w:pPr>
      <w:keepLines/>
      <w:spacing w:after="200" w:line="276" w:lineRule="auto"/>
      <w:jc w:val="both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26"/>
    <w:pPr>
      <w:numPr>
        <w:numId w:val="3"/>
      </w:numPr>
      <w:ind w:left="360"/>
      <w:contextualSpacing/>
    </w:pPr>
    <w:rPr>
      <w:rFonts w:cstheme="minorHAnsi"/>
      <w:lang w:val="en-US"/>
    </w:rPr>
  </w:style>
  <w:style w:type="paragraph" w:customStyle="1" w:styleId="Liste123">
    <w:name w:val="Liste 123"/>
    <w:basedOn w:val="ListParagraph"/>
    <w:qFormat/>
    <w:rsid w:val="003F5B26"/>
    <w:pPr>
      <w:numPr>
        <w:numId w:val="4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F6"/>
    <w:rPr>
      <w:rFonts w:ascii="Segoe UI" w:eastAsiaTheme="minorHAns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F6"/>
    <w:rPr>
      <w:rFonts w:ascii="Arial" w:eastAsiaTheme="minorHAnsi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F6"/>
    <w:rPr>
      <w:rFonts w:ascii="Arial" w:eastAsiaTheme="minorHAns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- 2018 NCC - 1.3. NC Roles and Responsibilities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EMOPSGCCU-1435067120-18175</_dlc_DocId>
    <_dlc_DocIdUrl xmlns="5858627f-d058-4b92-9b52-677b5fd7d454">
      <Url>https://unicef.sharepoint.com/teams/EMOPS-GCCU/_layouts/15/DocIdRedir.aspx?ID=EMOPSGCCU-1435067120-18175</Url>
      <Description>EMOPSGCCU-1435067120-18175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CA6E1A3-60CD-40BE-8A13-FB17F8F2BC24}">
  <ds:schemaRefs>
    <ds:schemaRef ds:uri="http://schemas.microsoft.com/office/2006/documentManagement/types"/>
    <ds:schemaRef ds:uri="http://purl.org/dc/dcmitype/"/>
    <ds:schemaRef ds:uri="ca283e0b-db31-4043-a2ef-b80661bf084a"/>
    <ds:schemaRef ds:uri="http://schemas.microsoft.com/sharepoint.v3"/>
    <ds:schemaRef ds:uri="http://schemas.microsoft.com/office/infopath/2007/PartnerControls"/>
    <ds:schemaRef ds:uri="http://purl.org/dc/terms/"/>
    <ds:schemaRef ds:uri="http://www.w3.org/XML/1998/namespace"/>
    <ds:schemaRef ds:uri="a438dd15-07ca-4cdc-82a3-f2206b92025e"/>
    <ds:schemaRef ds:uri="5858627f-d058-4b92-9b52-677b5fd7d454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685F40-700D-4294-B2FB-0245DF70F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871D8-8BED-4958-B7D1-751CACF62E4A}"/>
</file>

<file path=customXml/itemProps4.xml><?xml version="1.0" encoding="utf-8"?>
<ds:datastoreItem xmlns:ds="http://schemas.openxmlformats.org/officeDocument/2006/customXml" ds:itemID="{227E1CAC-C132-40B2-ACA6-B20BFB5252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D8D9C5-A569-4E9C-B69C-E01F289118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9EE4C2-2C91-48D9-A9E9-0970EDFE836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GNC; Training; NCC</cp:keywords>
  <dc:description/>
  <cp:lastModifiedBy>Diogo Loureiro Jurema</cp:lastModifiedBy>
  <cp:revision>8</cp:revision>
  <cp:lastPrinted>2017-10-17T11:26:00Z</cp:lastPrinted>
  <dcterms:created xsi:type="dcterms:W3CDTF">2015-07-31T11:02:00Z</dcterms:created>
  <dcterms:modified xsi:type="dcterms:W3CDTF">2019-11-18T11:10:00Z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5362ea65-2d65-4cb4-8512-e428335149fb</vt:lpwstr>
  </property>
</Properties>
</file>