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687EB7" w14:paraId="53629D0F" w14:textId="77777777" w:rsidTr="4F3FBAE8">
        <w:tc>
          <w:tcPr>
            <w:tcW w:w="7338" w:type="dxa"/>
          </w:tcPr>
          <w:p w14:paraId="5D759DF0" w14:textId="2CBE66CF" w:rsidR="006F5A2B" w:rsidRPr="00687EB7" w:rsidRDefault="006E5D46" w:rsidP="006E5D46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</w:pPr>
            <w:bookmarkStart w:id="0" w:name="_GoBack"/>
            <w:bookmarkEnd w:id="0"/>
            <w:r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>Activités principales du</w:t>
            </w:r>
            <w:r w:rsidR="006F5A2B"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="002072C1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>c</w:t>
            </w:r>
            <w:r w:rsidR="006F5A2B"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 xml:space="preserve">luster </w:t>
            </w:r>
          </w:p>
        </w:tc>
        <w:tc>
          <w:tcPr>
            <w:tcW w:w="2976" w:type="dxa"/>
          </w:tcPr>
          <w:p w14:paraId="733798ED" w14:textId="1F7ACEB2" w:rsidR="006F5A2B" w:rsidRPr="00687EB7" w:rsidRDefault="006E5D46" w:rsidP="006E5D4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</w:pPr>
            <w:r w:rsidRPr="00687EB7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 xml:space="preserve">Fonctions principales du </w:t>
            </w:r>
            <w:r w:rsidR="002072C1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>c</w:t>
            </w:r>
            <w:r w:rsidR="006F5A2B" w:rsidRPr="00687EB7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 xml:space="preserve">luster </w:t>
            </w:r>
          </w:p>
        </w:tc>
      </w:tr>
      <w:tr w:rsidR="006F5A2B" w:rsidRPr="00687EB7" w14:paraId="43B0021E" w14:textId="77777777" w:rsidTr="4F3FBAE8">
        <w:tc>
          <w:tcPr>
            <w:tcW w:w="7338" w:type="dxa"/>
          </w:tcPr>
          <w:p w14:paraId="5BE63012" w14:textId="77777777" w:rsidR="006F5A2B" w:rsidRPr="00687EB7" w:rsidRDefault="006E5D46" w:rsidP="006E5D46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Identifier  les préoccupations en matière de plaidoyer et contribuer aux messages et à l'action du CH et de l’EHP.</w:t>
            </w:r>
          </w:p>
        </w:tc>
        <w:tc>
          <w:tcPr>
            <w:tcW w:w="2976" w:type="dxa"/>
            <w:vAlign w:val="center"/>
          </w:tcPr>
          <w:p w14:paraId="2598DEE6" w14:textId="3D8A66D2" w:rsidR="006F5A2B" w:rsidRPr="00687EB7" w:rsidRDefault="4F3FBAE8" w:rsidP="4F3FBA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4F3FBAE8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</w:tr>
      <w:tr w:rsidR="006F5A2B" w:rsidRPr="00687EB7" w14:paraId="3E80B091" w14:textId="77777777" w:rsidTr="4F3FBAE8">
        <w:tc>
          <w:tcPr>
            <w:tcW w:w="7338" w:type="dxa"/>
          </w:tcPr>
          <w:p w14:paraId="2BE5CEE1" w14:textId="1C46CAAD" w:rsidR="006F5A2B" w:rsidRPr="00687EB7" w:rsidRDefault="002072C1" w:rsidP="006E5D46">
            <w:pPr>
              <w:jc w:val="center"/>
              <w:rPr>
                <w:rFonts w:asciiTheme="majorHAnsi" w:hAnsiTheme="majorHAnsi" w:cstheme="minorHAnsi"/>
                <w:sz w:val="24"/>
                <w:lang w:val="fr-FR"/>
              </w:rPr>
            </w:pPr>
            <w:r>
              <w:rPr>
                <w:rFonts w:asciiTheme="majorHAnsi" w:hAnsiTheme="majorHAnsi" w:cstheme="minorHAnsi"/>
                <w:sz w:val="24"/>
                <w:lang w:val="fr-FR"/>
              </w:rPr>
              <w:t>É</w:t>
            </w:r>
            <w:r w:rsidR="006E5D46" w:rsidRPr="00687EB7">
              <w:rPr>
                <w:rFonts w:asciiTheme="majorHAnsi" w:hAnsiTheme="majorHAnsi" w:cstheme="minorHAnsi"/>
                <w:sz w:val="24"/>
                <w:lang w:val="fr-FR"/>
              </w:rPr>
              <w:t xml:space="preserve">valuation des besoins et analyse (sectorielle et intersectorielle) des lacunes de </w:t>
            </w:r>
            <w:r w:rsidR="00543680" w:rsidRPr="00532FB8">
              <w:rPr>
                <w:rFonts w:asciiTheme="majorHAnsi" w:hAnsiTheme="majorHAnsi"/>
                <w:bCs/>
                <w:sz w:val="24"/>
                <w:lang w:val="fr-FR"/>
              </w:rPr>
              <w:t>l’intervention</w:t>
            </w:r>
            <w:r w:rsidR="006E5D46" w:rsidRPr="00687EB7">
              <w:rPr>
                <w:rFonts w:asciiTheme="majorHAnsi" w:hAnsiTheme="majorHAnsi" w:cstheme="minorHAnsi"/>
                <w:sz w:val="24"/>
                <w:lang w:val="fr-FR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18F999B5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2</w:t>
            </w:r>
          </w:p>
        </w:tc>
      </w:tr>
      <w:tr w:rsidR="006F5A2B" w:rsidRPr="00687EB7" w14:paraId="3B72A795" w14:textId="77777777" w:rsidTr="4F3FBAE8">
        <w:tc>
          <w:tcPr>
            <w:tcW w:w="7338" w:type="dxa"/>
          </w:tcPr>
          <w:p w14:paraId="7079493E" w14:textId="0C059178" w:rsidR="006F5A2B" w:rsidRPr="00687EB7" w:rsidRDefault="4F3FBAE8" w:rsidP="4F3FBAE8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4F3FBAE8">
              <w:rPr>
                <w:rFonts w:asciiTheme="majorHAnsi" w:hAnsiTheme="majorHAnsi"/>
                <w:sz w:val="24"/>
                <w:lang w:val="fr-FR"/>
              </w:rPr>
              <w:t xml:space="preserve">Être prêt pour </w:t>
            </w:r>
            <w:r w:rsidR="002072C1">
              <w:rPr>
                <w:rFonts w:asciiTheme="majorHAnsi" w:hAnsiTheme="majorHAnsi"/>
                <w:sz w:val="24"/>
                <w:lang w:val="fr-FR"/>
              </w:rPr>
              <w:t xml:space="preserve">faire face à </w:t>
            </w:r>
            <w:r w:rsidRPr="4F3FBAE8">
              <w:rPr>
                <w:rFonts w:asciiTheme="majorHAnsi" w:hAnsiTheme="majorHAnsi"/>
                <w:sz w:val="24"/>
                <w:lang w:val="fr-FR"/>
              </w:rPr>
              <w:t>des situations où il existe un risque élevé de nouvelle catastrophe ou de catastrophes récurrentes et qu’il existe une capacité suffisante au sein du cluster.</w:t>
            </w:r>
          </w:p>
        </w:tc>
        <w:tc>
          <w:tcPr>
            <w:tcW w:w="2976" w:type="dxa"/>
            <w:vAlign w:val="center"/>
          </w:tcPr>
          <w:p w14:paraId="29B4EA11" w14:textId="11BCDC20" w:rsidR="006F5A2B" w:rsidRPr="00687EB7" w:rsidRDefault="4F3FBAE8" w:rsidP="4F3FBA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4F3FBAE8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</w:tr>
      <w:tr w:rsidR="006F5A2B" w:rsidRPr="00687EB7" w14:paraId="09392965" w14:textId="77777777" w:rsidTr="4F3FBAE8">
        <w:tc>
          <w:tcPr>
            <w:tcW w:w="7338" w:type="dxa"/>
          </w:tcPr>
          <w:p w14:paraId="4FECED84" w14:textId="56EE4DA1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Analyse permettant d’identifier et de faire face aux lacunes, au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x obstacles, aux doublons et </w:t>
            </w:r>
            <w:r w:rsidR="002072C1">
              <w:rPr>
                <w:rFonts w:asciiTheme="majorHAnsi" w:hAnsiTheme="majorHAnsi"/>
                <w:sz w:val="24"/>
                <w:lang w:val="fr-FR"/>
              </w:rPr>
              <w:t>d’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adresser les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questions transversales émergentes d’âge, de genre, 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ainsi que les questions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environnementales et relatives au VIH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/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SIDA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144751B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2</w:t>
            </w:r>
          </w:p>
        </w:tc>
      </w:tr>
      <w:tr w:rsidR="006F5A2B" w:rsidRPr="00687EB7" w14:paraId="501A903E" w14:textId="77777777" w:rsidTr="4F3FBAE8">
        <w:tc>
          <w:tcPr>
            <w:tcW w:w="7338" w:type="dxa"/>
          </w:tcPr>
          <w:p w14:paraId="06E53CC0" w14:textId="01C0020D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Mise en œuvre et respect des normes et des directives existantes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  <w:r w:rsidRPr="00687EB7">
              <w:rPr>
                <w:rFonts w:asciiTheme="majorHAnsi" w:hAnsiTheme="majorHAnsi" w:cs="Arial"/>
                <w:sz w:val="24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FCD5EC4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3</w:t>
            </w:r>
          </w:p>
        </w:tc>
      </w:tr>
      <w:tr w:rsidR="006F5A2B" w:rsidRPr="00687EB7" w14:paraId="0086177A" w14:textId="77777777" w:rsidTr="4F3FBAE8">
        <w:tc>
          <w:tcPr>
            <w:tcW w:w="7338" w:type="dxa"/>
          </w:tcPr>
          <w:p w14:paraId="2879BF29" w14:textId="1EA02BE0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Entreprendre des activités de plaidoyer au nom des participants au cluster et de la population affectée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279935FF" w14:textId="6EDC76E6" w:rsidR="006F5A2B" w:rsidRPr="00687EB7" w:rsidRDefault="4F3FBAE8" w:rsidP="4F3FBA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4F3FBAE8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</w:tr>
      <w:tr w:rsidR="006F5A2B" w:rsidRPr="00687EB7" w14:paraId="0FBAAEA6" w14:textId="77777777" w:rsidTr="4F3FBAE8">
        <w:tc>
          <w:tcPr>
            <w:tcW w:w="7338" w:type="dxa"/>
          </w:tcPr>
          <w:p w14:paraId="01BE4F18" w14:textId="1EB8479E" w:rsidR="006F5A2B" w:rsidRPr="00687EB7" w:rsidRDefault="006E5D46" w:rsidP="006E5D46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Suivi de la mise en œuvre de la stratégie de cluster et des résultats obtenus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8941E47" w14:textId="3FA1D76A" w:rsidR="006F5A2B" w:rsidRPr="00687EB7" w:rsidRDefault="4F3FBAE8" w:rsidP="4F3FBA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4F3FBAE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6F5A2B" w:rsidRPr="00687EB7" w14:paraId="790DCF1A" w14:textId="77777777" w:rsidTr="4F3FBAE8">
        <w:tc>
          <w:tcPr>
            <w:tcW w:w="7338" w:type="dxa"/>
          </w:tcPr>
          <w:p w14:paraId="3814EE5F" w14:textId="62DA216B" w:rsidR="006F5A2B" w:rsidRPr="00687EB7" w:rsidRDefault="006E5D46" w:rsidP="002072C1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Mise en place d’une plate-forme </w:t>
            </w:r>
            <w:r w:rsidR="002072C1">
              <w:rPr>
                <w:rFonts w:asciiTheme="majorHAnsi" w:hAnsiTheme="majorHAnsi"/>
                <w:sz w:val="24"/>
                <w:lang w:val="fr-FR"/>
              </w:rPr>
              <w:t>veillant à ce</w:t>
            </w:r>
            <w:r w:rsidR="002072C1" w:rsidRPr="00687EB7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que la prestation de services s'aligne sur les priorités stratégiques convenues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  <w:r w:rsidRPr="00687EB7">
              <w:rPr>
                <w:rFonts w:asciiTheme="majorHAnsi" w:hAnsiTheme="majorHAnsi" w:cs="Arial"/>
                <w:sz w:val="24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49841BE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1</w:t>
            </w:r>
          </w:p>
        </w:tc>
      </w:tr>
      <w:tr w:rsidR="006F5A2B" w:rsidRPr="00687EB7" w14:paraId="130151E6" w14:textId="77777777" w:rsidTr="4F3FBAE8">
        <w:tc>
          <w:tcPr>
            <w:tcW w:w="7338" w:type="dxa"/>
          </w:tcPr>
          <w:p w14:paraId="559E9D50" w14:textId="05DCBB99" w:rsidR="006F5A2B" w:rsidRPr="00687EB7" w:rsidRDefault="006E5D46" w:rsidP="00543680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Clarification des besoins </w:t>
            </w:r>
            <w:r w:rsidR="002072C1">
              <w:rPr>
                <w:rFonts w:asciiTheme="majorHAnsi" w:hAnsiTheme="majorHAnsi"/>
                <w:sz w:val="24"/>
                <w:lang w:val="fr-FR"/>
              </w:rPr>
              <w:t xml:space="preserve">en matière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de financement, des priorités, et des contributions du cluster concernant l’ensemble des considérations de financement humanitaire 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au niveau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du CH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 (par exemple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: Appel </w:t>
            </w:r>
            <w:r w:rsidR="00713A39">
              <w:rPr>
                <w:rFonts w:asciiTheme="majorHAnsi" w:hAnsiTheme="majorHAnsi"/>
                <w:sz w:val="24"/>
                <w:lang w:val="fr-FR"/>
              </w:rPr>
              <w:t xml:space="preserve">Eclair 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>(</w:t>
            </w:r>
            <w:r w:rsidR="00713A39">
              <w:rPr>
                <w:rFonts w:asciiTheme="majorHAnsi" w:hAnsiTheme="majorHAnsi"/>
                <w:sz w:val="24"/>
                <w:lang w:val="fr-FR"/>
              </w:rPr>
              <w:t>Flash Appeal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>)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, 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>HRS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 – Plan 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>d’Intervention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 Humanitaire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 xml:space="preserve"> (Humanitarian Response Plan)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, CERF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 xml:space="preserve"> - </w:t>
            </w:r>
            <w:r w:rsidR="00543680" w:rsidRPr="00543680">
              <w:rPr>
                <w:rFonts w:asciiTheme="majorHAnsi" w:hAnsiTheme="majorHAnsi"/>
                <w:sz w:val="24"/>
                <w:lang w:val="fr-FR"/>
              </w:rPr>
              <w:t>Fonds central d'intervention pour les urgences humanitaires</w:t>
            </w:r>
            <w:r w:rsidR="00543680">
              <w:rPr>
                <w:rFonts w:asciiTheme="majorHAnsi" w:hAnsiTheme="majorHAnsi"/>
                <w:sz w:val="24"/>
                <w:lang w:val="fr-FR"/>
              </w:rPr>
              <w:t xml:space="preserve"> (Central Emergency Response Fund)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, Fond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d'intervention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>s</w:t>
            </w:r>
            <w:r w:rsidR="00D64745">
              <w:rPr>
                <w:rFonts w:asciiTheme="majorHAnsi" w:hAnsiTheme="majorHAnsi"/>
                <w:sz w:val="24"/>
                <w:lang w:val="fr-FR"/>
              </w:rPr>
              <w:t xml:space="preserve"> d'urgence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 xml:space="preserve"> /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Fonds humanitaire commun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)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0B778152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3</w:t>
            </w:r>
          </w:p>
        </w:tc>
      </w:tr>
      <w:tr w:rsidR="006F5A2B" w:rsidRPr="00687EB7" w14:paraId="7A86FD58" w14:textId="77777777" w:rsidTr="4F3FBAE8">
        <w:tc>
          <w:tcPr>
            <w:tcW w:w="7338" w:type="dxa"/>
          </w:tcPr>
          <w:p w14:paraId="30499EF8" w14:textId="00158606" w:rsidR="006F5A2B" w:rsidRPr="00687EB7" w:rsidRDefault="006E5D46" w:rsidP="008D386E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Hiérarchisation des priorités, fondée s</w:t>
            </w:r>
            <w:r w:rsidR="007D39E7">
              <w:rPr>
                <w:rFonts w:asciiTheme="majorHAnsi" w:hAnsiTheme="majorHAnsi"/>
                <w:sz w:val="24"/>
                <w:lang w:val="fr-FR"/>
              </w:rPr>
              <w:t xml:space="preserve">ur une analyse de </w:t>
            </w:r>
            <w:r w:rsidR="008D386E">
              <w:rPr>
                <w:rFonts w:asciiTheme="majorHAnsi" w:hAnsiTheme="majorHAnsi"/>
                <w:sz w:val="24"/>
                <w:lang w:val="fr-FR"/>
              </w:rPr>
              <w:t>l’intervention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humanitaire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8E884CA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2</w:t>
            </w:r>
          </w:p>
        </w:tc>
      </w:tr>
      <w:tr w:rsidR="006F5A2B" w:rsidRPr="00687EB7" w14:paraId="2F617DB2" w14:textId="77777777" w:rsidTr="4F3FBAE8">
        <w:tc>
          <w:tcPr>
            <w:tcW w:w="7338" w:type="dxa"/>
          </w:tcPr>
          <w:p w14:paraId="1F345718" w14:textId="282E10AB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Mise en place de mécanismes visant à éliminer les doublons dans la prestation de services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  <w:r w:rsidRPr="00687EB7">
              <w:rPr>
                <w:rFonts w:asciiTheme="majorHAnsi" w:hAnsiTheme="majorHAnsi" w:cs="Arial"/>
                <w:sz w:val="24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6B20A0C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1</w:t>
            </w:r>
          </w:p>
        </w:tc>
      </w:tr>
      <w:tr w:rsidR="006F5A2B" w:rsidRPr="00687EB7" w14:paraId="37780EAC" w14:textId="77777777" w:rsidTr="4F3FBAE8">
        <w:tc>
          <w:tcPr>
            <w:tcW w:w="7338" w:type="dxa"/>
          </w:tcPr>
          <w:p w14:paraId="1F109EAD" w14:textId="0A4225EC" w:rsidR="006F5A2B" w:rsidRPr="00687EB7" w:rsidRDefault="008D2A0B" w:rsidP="006F5A2B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Recommander de</w:t>
            </w:r>
            <w:r w:rsidR="007D39E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mesures correctives si nécessaire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4240AAE" w14:textId="0B18ED1E" w:rsidR="006F5A2B" w:rsidRPr="00687EB7" w:rsidRDefault="4F3FBAE8" w:rsidP="4F3FBA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4F3FBAE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6F5A2B" w:rsidRPr="00687EB7" w14:paraId="3EBEB344" w14:textId="77777777" w:rsidTr="4F3FBAE8">
        <w:tc>
          <w:tcPr>
            <w:tcW w:w="7338" w:type="dxa"/>
          </w:tcPr>
          <w:p w14:paraId="4285DC26" w14:textId="26B5923F" w:rsidR="006F5A2B" w:rsidRPr="00687EB7" w:rsidRDefault="007D39E7" w:rsidP="007D39E7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7D39E7">
              <w:rPr>
                <w:rFonts w:asciiTheme="majorHAnsi" w:hAnsiTheme="majorHAnsi"/>
                <w:sz w:val="24"/>
                <w:lang w:val="fr-FR"/>
              </w:rPr>
              <w:t xml:space="preserve">Développer des plans sectoriels, des objectifs </w:t>
            </w:r>
            <w:r>
              <w:rPr>
                <w:rFonts w:asciiTheme="majorHAnsi" w:hAnsiTheme="majorHAnsi"/>
                <w:sz w:val="24"/>
                <w:lang w:val="fr-FR"/>
              </w:rPr>
              <w:t>et des indicateurs pour appuyer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 xml:space="preserve"> directement la réalisation des priorités </w:t>
            </w:r>
            <w:r>
              <w:rPr>
                <w:rFonts w:asciiTheme="majorHAnsi" w:hAnsiTheme="majorHAnsi"/>
                <w:sz w:val="24"/>
                <w:lang w:val="fr-FR"/>
              </w:rPr>
              <w:t xml:space="preserve">stratégiques 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>fixées</w:t>
            </w:r>
            <w:r w:rsidR="00762CB9">
              <w:rPr>
                <w:rFonts w:asciiTheme="majorHAnsi" w:hAnsiTheme="majorHAnsi"/>
                <w:sz w:val="24"/>
                <w:lang w:val="fr-FR"/>
              </w:rPr>
              <w:t xml:space="preserve"> par le CH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>/ l'</w:t>
            </w:r>
            <w:r w:rsidR="00762CB9">
              <w:rPr>
                <w:rFonts w:asciiTheme="majorHAnsi" w:hAnsiTheme="majorHAnsi"/>
                <w:sz w:val="24"/>
                <w:lang w:val="fr-FR"/>
              </w:rPr>
              <w:t>EHP</w:t>
            </w:r>
            <w:r w:rsidR="00540743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A036E3D" w14:textId="77777777" w:rsidR="006F5A2B" w:rsidRPr="00687EB7" w:rsidRDefault="001F1DC6" w:rsidP="001F1DC6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687EB7">
              <w:rPr>
                <w:rFonts w:ascii="Arial" w:hAnsi="Arial" w:cs="Arial"/>
                <w:sz w:val="32"/>
                <w:lang w:val="fr-FR"/>
              </w:rPr>
              <w:t>3</w:t>
            </w:r>
          </w:p>
        </w:tc>
      </w:tr>
    </w:tbl>
    <w:p w14:paraId="672A6659" w14:textId="77777777" w:rsidR="00EC051B" w:rsidRPr="00687EB7" w:rsidRDefault="00EC051B" w:rsidP="006F5A2B">
      <w:pPr>
        <w:jc w:val="center"/>
        <w:rPr>
          <w:lang w:val="fr-FR"/>
        </w:rPr>
      </w:pPr>
    </w:p>
    <w:p w14:paraId="1B532FA0" w14:textId="05E6202B" w:rsidR="001F1DC6" w:rsidRDefault="4F3FBAE8" w:rsidP="4F3FBAE8">
      <w:pPr>
        <w:rPr>
          <w:rFonts w:asciiTheme="majorHAnsi" w:hAnsiTheme="majorHAnsi"/>
          <w:sz w:val="24"/>
          <w:lang w:val="fr-FR"/>
        </w:rPr>
      </w:pPr>
      <w:r w:rsidRPr="4F3FBAE8">
        <w:rPr>
          <w:rFonts w:asciiTheme="majorHAnsi" w:hAnsiTheme="majorHAnsi"/>
          <w:sz w:val="24"/>
          <w:lang w:val="fr-FR"/>
        </w:rPr>
        <w:t xml:space="preserve">Par conséquent, les </w:t>
      </w:r>
      <w:r w:rsidRPr="4F3FBAE8">
        <w:rPr>
          <w:rFonts w:asciiTheme="majorHAnsi" w:hAnsiTheme="majorHAnsi"/>
          <w:b/>
          <w:bCs/>
          <w:sz w:val="24"/>
          <w:lang w:val="fr-FR"/>
        </w:rPr>
        <w:t>six fonctions principales</w:t>
      </w:r>
      <w:r w:rsidRPr="4F3FBAE8">
        <w:rPr>
          <w:rFonts w:asciiTheme="majorHAnsi" w:hAnsiTheme="majorHAnsi"/>
          <w:sz w:val="24"/>
          <w:lang w:val="fr-FR"/>
        </w:rPr>
        <w:t xml:space="preserve"> d'un cluster au niveau pays sont les suivantes : </w:t>
      </w:r>
    </w:p>
    <w:p w14:paraId="0A37501D" w14:textId="77777777" w:rsidR="00687EB7" w:rsidRPr="00687EB7" w:rsidRDefault="00687EB7" w:rsidP="001F1DC6">
      <w:pPr>
        <w:rPr>
          <w:rFonts w:asciiTheme="majorHAnsi" w:hAnsiTheme="majorHAnsi"/>
          <w:sz w:val="24"/>
          <w:lang w:val="fr-FR"/>
        </w:rPr>
      </w:pPr>
    </w:p>
    <w:p w14:paraId="4AFCB21B" w14:textId="54C33273" w:rsidR="001F1DC6" w:rsidRPr="00687EB7" w:rsidRDefault="002072C1" w:rsidP="4F3FBAE8">
      <w:pPr>
        <w:pStyle w:val="Liste123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  <w:lang w:val="fr-FR"/>
        </w:rPr>
      </w:pPr>
      <w:bookmarkStart w:id="1" w:name="_Hlk320914110"/>
      <w:r>
        <w:rPr>
          <w:rFonts w:asciiTheme="majorHAnsi" w:hAnsiTheme="majorHAnsi"/>
          <w:b/>
          <w:bCs/>
          <w:sz w:val="24"/>
          <w:szCs w:val="24"/>
          <w:lang w:val="fr-FR"/>
        </w:rPr>
        <w:t>Appuyer</w:t>
      </w: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4F3FBAE8" w:rsidRPr="4F3FBAE8">
        <w:rPr>
          <w:rFonts w:asciiTheme="majorHAnsi" w:hAnsiTheme="majorHAnsi"/>
          <w:b/>
          <w:bCs/>
          <w:sz w:val="24"/>
          <w:szCs w:val="24"/>
          <w:lang w:val="fr-FR"/>
        </w:rPr>
        <w:t>la prestation de services:</w:t>
      </w:r>
    </w:p>
    <w:p w14:paraId="6425067D" w14:textId="658FD65B" w:rsidR="001F1DC6" w:rsidRPr="00687EB7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 xml:space="preserve">Mise en place d’une plate-forme </w:t>
      </w:r>
      <w:r w:rsidR="002072C1">
        <w:rPr>
          <w:rFonts w:asciiTheme="majorHAnsi" w:hAnsiTheme="majorHAnsi"/>
          <w:sz w:val="24"/>
          <w:szCs w:val="24"/>
          <w:lang w:val="fr-FR"/>
        </w:rPr>
        <w:t>veillant à ce</w:t>
      </w:r>
      <w:r w:rsidR="002072C1" w:rsidRPr="4F3FBAE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que la prestation de services s'aligne sur le Plan </w:t>
      </w:r>
      <w:r w:rsidR="008D386E">
        <w:rPr>
          <w:rFonts w:asciiTheme="majorHAnsi" w:hAnsiTheme="majorHAnsi"/>
          <w:sz w:val="24"/>
          <w:szCs w:val="24"/>
          <w:lang w:val="fr-FR"/>
        </w:rPr>
        <w:t>d’Intervention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 Humanitaire et les priorités stratégiques convenues</w:t>
      </w:r>
    </w:p>
    <w:p w14:paraId="1FFEE9AA" w14:textId="77777777" w:rsidR="001F1DC6" w:rsidRPr="00687EB7" w:rsidRDefault="00687EB7" w:rsidP="001F1DC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lang w:val="fr-FR"/>
        </w:rPr>
      </w:pPr>
      <w:r w:rsidRPr="00687EB7">
        <w:rPr>
          <w:rFonts w:asciiTheme="majorHAnsi" w:hAnsiTheme="majorHAnsi"/>
          <w:sz w:val="24"/>
          <w:lang w:val="fr-FR"/>
        </w:rPr>
        <w:t>Mise en place de mécanismes visant à éliminer les doublons dans la prestation de services</w:t>
      </w:r>
    </w:p>
    <w:p w14:paraId="202DAE2F" w14:textId="5A1F60F6" w:rsidR="001F1DC6" w:rsidRPr="00687EB7" w:rsidRDefault="4F3FBAE8" w:rsidP="4F3FBAE8">
      <w:pPr>
        <w:pStyle w:val="Liste123"/>
        <w:numPr>
          <w:ilvl w:val="0"/>
          <w:numId w:val="5"/>
        </w:numPr>
        <w:rPr>
          <w:sz w:val="24"/>
          <w:szCs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t xml:space="preserve">Guider le CH/l’EHP dans sa prise de décisions stratégiques relatives à </w:t>
      </w:r>
      <w:r w:rsidR="00543680">
        <w:rPr>
          <w:rFonts w:asciiTheme="majorHAnsi" w:hAnsiTheme="majorHAnsi"/>
          <w:b/>
          <w:bCs/>
          <w:sz w:val="24"/>
          <w:szCs w:val="24"/>
          <w:lang w:val="fr-FR"/>
        </w:rPr>
        <w:t>l’intervention</w:t>
      </w: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t xml:space="preserve"> humanitaire:</w:t>
      </w:r>
    </w:p>
    <w:p w14:paraId="50F82555" w14:textId="4B715962" w:rsidR="00762CB9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 xml:space="preserve">Préparer des évaluations de besoins et des analyses des lacunes dans </w:t>
      </w:r>
      <w:r w:rsidR="00543680" w:rsidRPr="007D5B16">
        <w:rPr>
          <w:rFonts w:asciiTheme="majorHAnsi" w:hAnsiTheme="majorHAnsi"/>
          <w:bCs/>
          <w:sz w:val="24"/>
          <w:szCs w:val="24"/>
          <w:lang w:val="fr-FR"/>
        </w:rPr>
        <w:t>l’intervention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 (intra et intersectorielle</w:t>
      </w:r>
      <w:r w:rsidR="002072C1">
        <w:rPr>
          <w:rFonts w:asciiTheme="majorHAnsi" w:hAnsiTheme="majorHAnsi"/>
          <w:sz w:val="24"/>
          <w:szCs w:val="24"/>
          <w:lang w:val="fr-FR"/>
        </w:rPr>
        <w:t>s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, en utilisant des outils de gestion </w:t>
      </w:r>
      <w:r w:rsidR="002072C1">
        <w:rPr>
          <w:rFonts w:asciiTheme="majorHAnsi" w:hAnsiTheme="majorHAnsi"/>
          <w:sz w:val="24"/>
          <w:szCs w:val="24"/>
          <w:lang w:val="fr-FR"/>
        </w:rPr>
        <w:t>en fonction des besoins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) pour informer </w:t>
      </w:r>
      <w:r w:rsidR="002072C1">
        <w:rPr>
          <w:rFonts w:asciiTheme="majorHAnsi" w:hAnsiTheme="majorHAnsi"/>
          <w:sz w:val="24"/>
          <w:szCs w:val="24"/>
          <w:lang w:val="fr-FR"/>
        </w:rPr>
        <w:t>la définition</w:t>
      </w:r>
      <w:r w:rsidR="002072C1" w:rsidRPr="4F3FBAE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4F3FBAE8">
        <w:rPr>
          <w:rFonts w:asciiTheme="majorHAnsi" w:hAnsiTheme="majorHAnsi"/>
          <w:sz w:val="24"/>
          <w:szCs w:val="24"/>
          <w:lang w:val="fr-FR"/>
        </w:rPr>
        <w:t>de</w:t>
      </w:r>
      <w:r w:rsidR="002072C1">
        <w:rPr>
          <w:rFonts w:asciiTheme="majorHAnsi" w:hAnsiTheme="majorHAnsi"/>
          <w:sz w:val="24"/>
          <w:szCs w:val="24"/>
          <w:lang w:val="fr-FR"/>
        </w:rPr>
        <w:t>s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 priorités</w:t>
      </w:r>
    </w:p>
    <w:p w14:paraId="43CB8695" w14:textId="0C53C645" w:rsidR="00762CB9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>Identifier et trouver des solutions aux lacunes, aux obstacles, aux doublons et adresser les questions transversales émergentes.</w:t>
      </w:r>
    </w:p>
    <w:p w14:paraId="22DF4FBF" w14:textId="377122CD" w:rsidR="001F1DC6" w:rsidRPr="00687EB7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>Formulation de priorités, fondées sur l’analyse</w:t>
      </w:r>
    </w:p>
    <w:p w14:paraId="11AE6360" w14:textId="0DA5C5D0" w:rsidR="001F1DC6" w:rsidRPr="00687EB7" w:rsidRDefault="4F3FBAE8" w:rsidP="4F3FBAE8">
      <w:pPr>
        <w:pStyle w:val="Liste123"/>
        <w:numPr>
          <w:ilvl w:val="0"/>
          <w:numId w:val="5"/>
        </w:numPr>
        <w:rPr>
          <w:sz w:val="24"/>
          <w:szCs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t>Planifier et mettre en œuvre les stratégies du cluster:</w:t>
      </w:r>
    </w:p>
    <w:p w14:paraId="30D29D7B" w14:textId="567EF49E" w:rsidR="00762CB9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 xml:space="preserve">Développer des plans sectoriels, des objectifs et des indicateurs pour appuyer directement la réalisation des priorités stratégiques de </w:t>
      </w:r>
      <w:r w:rsidR="00543680" w:rsidRPr="00532FB8">
        <w:rPr>
          <w:rFonts w:asciiTheme="majorHAnsi" w:hAnsiTheme="majorHAnsi"/>
          <w:bCs/>
          <w:sz w:val="24"/>
          <w:szCs w:val="24"/>
          <w:lang w:val="fr-FR"/>
        </w:rPr>
        <w:t>l’intervention</w:t>
      </w:r>
      <w:r w:rsidR="00543680">
        <w:rPr>
          <w:rFonts w:asciiTheme="majorHAnsi" w:hAnsiTheme="majorHAnsi"/>
          <w:bCs/>
          <w:sz w:val="24"/>
          <w:szCs w:val="24"/>
          <w:lang w:val="fr-FR"/>
        </w:rPr>
        <w:t xml:space="preserve"> 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humanitaire  </w:t>
      </w:r>
    </w:p>
    <w:p w14:paraId="41C78B15" w14:textId="77777777" w:rsidR="00687EB7" w:rsidRPr="00687EB7" w:rsidRDefault="00687EB7" w:rsidP="001F1DC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lang w:val="fr-FR"/>
        </w:rPr>
      </w:pPr>
      <w:r w:rsidRPr="00687EB7">
        <w:rPr>
          <w:rFonts w:asciiTheme="majorHAnsi" w:hAnsiTheme="majorHAnsi"/>
          <w:sz w:val="24"/>
          <w:lang w:val="fr-FR"/>
        </w:rPr>
        <w:t xml:space="preserve">Mise en œuvre et respect des normes et des directives existantes </w:t>
      </w:r>
    </w:p>
    <w:p w14:paraId="4A6AFC88" w14:textId="028DF20E" w:rsidR="001F1DC6" w:rsidRPr="00687EB7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 xml:space="preserve">Clarification des besoins de financement, des priorités, et des contributions du cluster concernant l’ensemble des considérations de financement humanitaire au niveau du CH </w:t>
      </w:r>
    </w:p>
    <w:p w14:paraId="1C45282C" w14:textId="55CE08F4" w:rsidR="001F1DC6" w:rsidRPr="00687EB7" w:rsidRDefault="4F3FBAE8" w:rsidP="4F3FBAE8">
      <w:pPr>
        <w:rPr>
          <w:rFonts w:asciiTheme="majorHAnsi" w:hAnsiTheme="majorHAnsi"/>
          <w:b/>
          <w:bCs/>
          <w:sz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lang w:val="fr-FR"/>
        </w:rPr>
        <w:t>4.  Suivre et évaluer la performance</w:t>
      </w:r>
    </w:p>
    <w:p w14:paraId="58108C95" w14:textId="1664103C" w:rsidR="001F1DC6" w:rsidRPr="00687EB7" w:rsidRDefault="4F3FBAE8" w:rsidP="4F3FBAE8">
      <w:pPr>
        <w:pStyle w:val="ListParagraph"/>
        <w:numPr>
          <w:ilvl w:val="0"/>
          <w:numId w:val="1"/>
        </w:numPr>
        <w:rPr>
          <w:color w:val="231F20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>Su</w:t>
      </w:r>
      <w:r w:rsidR="00A2080F">
        <w:rPr>
          <w:rFonts w:asciiTheme="majorHAnsi" w:hAnsiTheme="majorHAnsi"/>
          <w:sz w:val="24"/>
          <w:szCs w:val="24"/>
          <w:lang w:val="fr-FR"/>
        </w:rPr>
        <w:t xml:space="preserve">perviser </w:t>
      </w:r>
      <w:r w:rsidRPr="4F3FBAE8">
        <w:rPr>
          <w:rFonts w:asciiTheme="majorHAnsi" w:hAnsiTheme="majorHAnsi"/>
          <w:sz w:val="24"/>
          <w:szCs w:val="24"/>
          <w:lang w:val="fr-FR"/>
        </w:rPr>
        <w:t xml:space="preserve">et </w:t>
      </w:r>
      <w:r w:rsidR="00A2080F">
        <w:rPr>
          <w:rFonts w:asciiTheme="majorHAnsi" w:hAnsiTheme="majorHAnsi"/>
          <w:sz w:val="24"/>
          <w:szCs w:val="24"/>
          <w:lang w:val="fr-FR"/>
        </w:rPr>
        <w:t>écrire des comptes-rendus</w:t>
      </w:r>
      <w:r w:rsidR="00A2080F" w:rsidRPr="4F3FBAE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4F3FBAE8">
        <w:rPr>
          <w:rFonts w:asciiTheme="majorHAnsi" w:hAnsiTheme="majorHAnsi"/>
          <w:sz w:val="24"/>
          <w:szCs w:val="24"/>
          <w:lang w:val="fr-FR"/>
        </w:rPr>
        <w:t>sur les activités et les besoins</w:t>
      </w:r>
    </w:p>
    <w:p w14:paraId="10F0097D" w14:textId="05061498" w:rsidR="001F1DC6" w:rsidRPr="00687EB7" w:rsidRDefault="4F3FBAE8" w:rsidP="4F3FBAE8">
      <w:pPr>
        <w:pStyle w:val="ListParagraph"/>
        <w:numPr>
          <w:ilvl w:val="0"/>
          <w:numId w:val="1"/>
        </w:numPr>
        <w:rPr>
          <w:color w:val="231F20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>Mesurer les progrès par rapport à la stratégie du cluster et les cibles convenues</w:t>
      </w:r>
    </w:p>
    <w:p w14:paraId="02E3EB9F" w14:textId="5D94F1D8" w:rsidR="001F1DC6" w:rsidRPr="00687EB7" w:rsidRDefault="4F3FBAE8" w:rsidP="4F3FBAE8">
      <w:pPr>
        <w:pStyle w:val="ListParagraph"/>
        <w:numPr>
          <w:ilvl w:val="0"/>
          <w:numId w:val="1"/>
        </w:numPr>
        <w:rPr>
          <w:color w:val="231F20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>Recommander des actions correctives lorsque cela est nécessaire</w:t>
      </w:r>
    </w:p>
    <w:p w14:paraId="389FE447" w14:textId="1200652D" w:rsidR="001F1DC6" w:rsidRPr="00687EB7" w:rsidRDefault="4F3FBAE8" w:rsidP="4F3FBAE8">
      <w:pPr>
        <w:rPr>
          <w:rFonts w:asciiTheme="majorHAnsi" w:hAnsiTheme="majorHAnsi"/>
          <w:b/>
          <w:bCs/>
          <w:sz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lang w:val="fr-FR"/>
        </w:rPr>
        <w:t xml:space="preserve">5. Renforcement des capacités nationales </w:t>
      </w:r>
      <w:r w:rsidR="00C575D9">
        <w:rPr>
          <w:rFonts w:asciiTheme="majorHAnsi" w:hAnsiTheme="majorHAnsi"/>
          <w:b/>
          <w:bCs/>
          <w:sz w:val="24"/>
          <w:lang w:val="fr-FR"/>
        </w:rPr>
        <w:t>dans la</w:t>
      </w:r>
      <w:r w:rsidRPr="4F3FBAE8">
        <w:rPr>
          <w:rFonts w:asciiTheme="majorHAnsi" w:hAnsiTheme="majorHAnsi"/>
          <w:b/>
          <w:bCs/>
          <w:sz w:val="24"/>
          <w:lang w:val="fr-FR"/>
        </w:rPr>
        <w:t xml:space="preserve"> préparation aux urgences et </w:t>
      </w:r>
      <w:r w:rsidR="00C575D9">
        <w:rPr>
          <w:rFonts w:asciiTheme="majorHAnsi" w:hAnsiTheme="majorHAnsi"/>
          <w:b/>
          <w:bCs/>
          <w:sz w:val="24"/>
          <w:lang w:val="fr-FR"/>
        </w:rPr>
        <w:t>la mise en place de mesures d’urgence</w:t>
      </w:r>
    </w:p>
    <w:p w14:paraId="673C73B6" w14:textId="4A7A53A1" w:rsidR="001F1DC6" w:rsidRPr="00687EB7" w:rsidRDefault="001F1DC6" w:rsidP="4F3FBAE8">
      <w:pPr>
        <w:rPr>
          <w:rFonts w:asciiTheme="majorHAnsi" w:hAnsiTheme="majorHAnsi"/>
          <w:sz w:val="24"/>
          <w:lang w:val="fr-FR"/>
        </w:rPr>
      </w:pPr>
    </w:p>
    <w:p w14:paraId="0B100E96" w14:textId="34363BED" w:rsidR="001F1DC6" w:rsidRPr="00687EB7" w:rsidRDefault="4F3FBAE8" w:rsidP="4F3FBAE8">
      <w:pPr>
        <w:rPr>
          <w:rFonts w:asciiTheme="majorHAnsi" w:hAnsiTheme="majorHAnsi"/>
          <w:b/>
          <w:bCs/>
          <w:sz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lang w:val="fr-FR"/>
        </w:rPr>
        <w:t xml:space="preserve">6. </w:t>
      </w:r>
      <w:r w:rsidR="004359B5">
        <w:rPr>
          <w:rFonts w:asciiTheme="majorHAnsi" w:hAnsiTheme="majorHAnsi"/>
          <w:b/>
          <w:bCs/>
          <w:sz w:val="24"/>
          <w:lang w:val="fr-FR"/>
        </w:rPr>
        <w:t>Appuyer un</w:t>
      </w:r>
      <w:r w:rsidR="00B5411F">
        <w:rPr>
          <w:rFonts w:asciiTheme="majorHAnsi" w:hAnsiTheme="majorHAnsi"/>
          <w:b/>
          <w:bCs/>
          <w:sz w:val="24"/>
          <w:lang w:val="fr-FR"/>
        </w:rPr>
        <w:t>e campagne de</w:t>
      </w:r>
      <w:r w:rsidR="004359B5">
        <w:rPr>
          <w:rFonts w:asciiTheme="majorHAnsi" w:hAnsiTheme="majorHAnsi"/>
          <w:b/>
          <w:bCs/>
          <w:sz w:val="24"/>
          <w:lang w:val="fr-FR"/>
        </w:rPr>
        <w:t xml:space="preserve"> p</w:t>
      </w:r>
      <w:r w:rsidRPr="4F3FBAE8">
        <w:rPr>
          <w:rFonts w:asciiTheme="majorHAnsi" w:hAnsiTheme="majorHAnsi"/>
          <w:b/>
          <w:bCs/>
          <w:sz w:val="24"/>
          <w:lang w:val="fr-FR"/>
        </w:rPr>
        <w:t>laidoyer</w:t>
      </w:r>
      <w:r w:rsidR="004359B5">
        <w:rPr>
          <w:rFonts w:asciiTheme="majorHAnsi" w:hAnsiTheme="majorHAnsi"/>
          <w:b/>
          <w:bCs/>
          <w:sz w:val="24"/>
          <w:lang w:val="fr-FR"/>
        </w:rPr>
        <w:t xml:space="preserve"> efficace</w:t>
      </w:r>
    </w:p>
    <w:p w14:paraId="4BFDF671" w14:textId="77777777" w:rsidR="009D216C" w:rsidRDefault="009D216C" w:rsidP="00687EB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lang w:val="fr-FR"/>
        </w:rPr>
      </w:pPr>
      <w:r w:rsidRPr="00687EB7">
        <w:rPr>
          <w:rFonts w:asciiTheme="majorHAnsi" w:hAnsiTheme="majorHAnsi"/>
          <w:sz w:val="24"/>
          <w:lang w:val="fr-FR"/>
        </w:rPr>
        <w:t xml:space="preserve">Identifier  les préoccupations en matière de plaidoyer et contribuer aux messages </w:t>
      </w:r>
      <w:r>
        <w:rPr>
          <w:rFonts w:asciiTheme="majorHAnsi" w:hAnsiTheme="majorHAnsi"/>
          <w:sz w:val="24"/>
          <w:lang w:val="fr-FR"/>
        </w:rPr>
        <w:t>et à l'action du CH et de l’EHP</w:t>
      </w:r>
    </w:p>
    <w:p w14:paraId="1663766A" w14:textId="1148D132" w:rsidR="001F1DC6" w:rsidRPr="00687EB7" w:rsidRDefault="4F3FBAE8" w:rsidP="4F3FBAE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sz w:val="24"/>
          <w:szCs w:val="24"/>
          <w:lang w:val="fr-FR"/>
        </w:rPr>
        <w:t xml:space="preserve"> Entreprendre des activités de plaidoyer au nom du cluster, des participants au cluster et des populations affectées</w:t>
      </w:r>
    </w:p>
    <w:p w14:paraId="3CFD934A" w14:textId="066A6060" w:rsidR="4F3FBAE8" w:rsidRDefault="4F3FBAE8" w:rsidP="4F3FBAE8">
      <w:pPr>
        <w:rPr>
          <w:rFonts w:asciiTheme="majorHAnsi" w:hAnsiTheme="majorHAnsi"/>
          <w:sz w:val="24"/>
          <w:lang w:val="fr-FR"/>
        </w:rPr>
      </w:pPr>
    </w:p>
    <w:p w14:paraId="62AD4C0D" w14:textId="349D3CEA" w:rsidR="001F1DC6" w:rsidRDefault="4F3FBAE8" w:rsidP="4F3FBAE8">
      <w:pPr>
        <w:pStyle w:val="Liste123"/>
        <w:numPr>
          <w:ilvl w:val="0"/>
          <w:numId w:val="0"/>
        </w:numPr>
        <w:rPr>
          <w:rFonts w:asciiTheme="majorHAnsi" w:hAnsiTheme="majorHAnsi"/>
          <w:sz w:val="24"/>
          <w:szCs w:val="24"/>
          <w:lang w:val="fr-FR"/>
        </w:rPr>
      </w:pP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 xml:space="preserve">+ </w:t>
      </w:r>
      <w:r w:rsidR="005E7B1E">
        <w:rPr>
          <w:rFonts w:asciiTheme="majorHAnsi" w:hAnsiTheme="majorHAnsi"/>
          <w:b/>
          <w:bCs/>
          <w:sz w:val="24"/>
          <w:szCs w:val="24"/>
          <w:lang w:val="fr-FR"/>
        </w:rPr>
        <w:t>Redevabilité</w:t>
      </w:r>
      <w:r w:rsidR="00961DBD">
        <w:rPr>
          <w:rFonts w:asciiTheme="majorHAnsi" w:hAnsiTheme="majorHAnsi"/>
          <w:b/>
          <w:bCs/>
          <w:sz w:val="24"/>
          <w:szCs w:val="24"/>
          <w:lang w:val="fr-FR"/>
        </w:rPr>
        <w:t xml:space="preserve"> envers les</w:t>
      </w:r>
      <w:r w:rsidR="00961DBD" w:rsidRPr="4F3FBAE8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Pr="4F3FBAE8">
        <w:rPr>
          <w:rFonts w:asciiTheme="majorHAnsi" w:hAnsiTheme="majorHAnsi"/>
          <w:b/>
          <w:bCs/>
          <w:sz w:val="24"/>
          <w:szCs w:val="24"/>
          <w:lang w:val="fr-FR"/>
        </w:rPr>
        <w:t>populations affectées</w:t>
      </w:r>
      <w:bookmarkEnd w:id="1"/>
    </w:p>
    <w:sectPr w:rsidR="001F1DC6" w:rsidSect="00EA7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0156"/>
    <w:multiLevelType w:val="hybridMultilevel"/>
    <w:tmpl w:val="DAD6C756"/>
    <w:lvl w:ilvl="0" w:tplc="B128DA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CE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4E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8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F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EA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2B"/>
    <w:rsid w:val="00072268"/>
    <w:rsid w:val="001B317B"/>
    <w:rsid w:val="001C5F54"/>
    <w:rsid w:val="001F1DC6"/>
    <w:rsid w:val="001F4238"/>
    <w:rsid w:val="002072C1"/>
    <w:rsid w:val="004207BE"/>
    <w:rsid w:val="004359B5"/>
    <w:rsid w:val="00540743"/>
    <w:rsid w:val="00543680"/>
    <w:rsid w:val="00546D0E"/>
    <w:rsid w:val="005B222A"/>
    <w:rsid w:val="005E7B1E"/>
    <w:rsid w:val="005F3087"/>
    <w:rsid w:val="006223C6"/>
    <w:rsid w:val="00675CBD"/>
    <w:rsid w:val="00687EB7"/>
    <w:rsid w:val="006E5D46"/>
    <w:rsid w:val="006F5A2B"/>
    <w:rsid w:val="00713A39"/>
    <w:rsid w:val="00762CB9"/>
    <w:rsid w:val="007671A1"/>
    <w:rsid w:val="00783B9A"/>
    <w:rsid w:val="007D39E7"/>
    <w:rsid w:val="007D5B16"/>
    <w:rsid w:val="0082643E"/>
    <w:rsid w:val="008B2973"/>
    <w:rsid w:val="008D2A0B"/>
    <w:rsid w:val="008D386E"/>
    <w:rsid w:val="00945213"/>
    <w:rsid w:val="00961DBD"/>
    <w:rsid w:val="009639B7"/>
    <w:rsid w:val="009D216C"/>
    <w:rsid w:val="00A2080F"/>
    <w:rsid w:val="00A77435"/>
    <w:rsid w:val="00B359A3"/>
    <w:rsid w:val="00B5411F"/>
    <w:rsid w:val="00BA4881"/>
    <w:rsid w:val="00C575D9"/>
    <w:rsid w:val="00C80609"/>
    <w:rsid w:val="00D64745"/>
    <w:rsid w:val="00EA70B8"/>
    <w:rsid w:val="00EC051B"/>
    <w:rsid w:val="00FC49F3"/>
    <w:rsid w:val="4F3FB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63F35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2"/>
      </w:numPr>
      <w:spacing w:after="200" w:line="276" w:lineRule="auto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3"/>
      </w:numPr>
    </w:pPr>
    <w:rPr>
      <w:lang w:eastAsia="en-GB"/>
    </w:rPr>
  </w:style>
  <w:style w:type="table" w:styleId="TableGrid">
    <w:name w:val="Table Grid"/>
    <w:basedOn w:val="TableNormal"/>
    <w:uiPriority w:val="59"/>
    <w:rsid w:val="00687EB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2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1"/>
    <w:rPr>
      <w:rFonts w:ascii="lucida grande" w:eastAsia="Times New Roman" w:hAnsi="lucida grande" w:cs="lucida grande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EMOPSGCCU-1435067120-27925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https://unicef.sharepoint.com/teams/EMOPS-GCCU/_layouts/15/DocIdRedir.aspx?ID=EMOPSGCCU-1435067120-27925</Url>
      <Description>EMOPSGCCU-1435067120-27925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ECBD397-089F-4701-A59B-48372074C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94E16-287A-41AC-9476-CDFEDDCC9272}"/>
</file>

<file path=customXml/itemProps3.xml><?xml version="1.0" encoding="utf-8"?>
<ds:datastoreItem xmlns:ds="http://schemas.openxmlformats.org/officeDocument/2006/customXml" ds:itemID="{F51E2CDA-4031-4B11-83FD-2A923F813B6C}"/>
</file>

<file path=customXml/itemProps4.xml><?xml version="1.0" encoding="utf-8"?>
<ds:datastoreItem xmlns:ds="http://schemas.openxmlformats.org/officeDocument/2006/customXml" ds:itemID="{5886AA71-814A-47B2-8770-1D987523C1A7}"/>
</file>

<file path=customXml/itemProps5.xml><?xml version="1.0" encoding="utf-8"?>
<ds:datastoreItem xmlns:ds="http://schemas.openxmlformats.org/officeDocument/2006/customXml" ds:itemID="{01016B65-37B1-49C2-9ECA-5FD719858C77}"/>
</file>

<file path=customXml/itemProps6.xml><?xml version="1.0" encoding="utf-8"?>
<ds:datastoreItem xmlns:ds="http://schemas.openxmlformats.org/officeDocument/2006/customXml" ds:itemID="{FDA7B3F5-DC54-45A4-B775-67B7D3519739}"/>
</file>

<file path=customXml/itemProps7.xml><?xml version="1.0" encoding="utf-8"?>
<ds:datastoreItem xmlns:ds="http://schemas.openxmlformats.org/officeDocument/2006/customXml" ds:itemID="{3C8EB429-52C9-4D5E-8F27-7BA4C21B1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Angeline Grant</cp:lastModifiedBy>
  <cp:revision>2</cp:revision>
  <dcterms:created xsi:type="dcterms:W3CDTF">2019-05-16T14:03:00Z</dcterms:created>
  <dcterms:modified xsi:type="dcterms:W3CDTF">2019-05-16T14:03:00Z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3da37432-7c23-4334-a4a5-1a38368976de</vt:lpwstr>
  </property>
  <property fmtid="{D5CDD505-2E9C-101B-9397-08002B2CF9AE}" pid="5" name="TaxKeyword">
    <vt:lpwstr/>
  </property>
</Properties>
</file>